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4ED26B98" w:rsidR="00832F73" w:rsidRDefault="00832F73" w:rsidP="00832F73">
      <w:pPr>
        <w:pStyle w:val="3GPPHeader"/>
        <w:spacing w:after="60"/>
        <w:rPr>
          <w:sz w:val="32"/>
          <w:szCs w:val="32"/>
          <w:highlight w:val="yellow"/>
        </w:rPr>
      </w:pPr>
      <w:r>
        <w:t>3GPP TSG-RAN WG1 Meeting #94bis</w:t>
      </w:r>
      <w:r>
        <w:tab/>
      </w:r>
      <w:proofErr w:type="spellStart"/>
      <w:r>
        <w:rPr>
          <w:sz w:val="32"/>
          <w:szCs w:val="32"/>
        </w:rPr>
        <w:t>Tdoc</w:t>
      </w:r>
      <w:proofErr w:type="spellEnd"/>
      <w:r>
        <w:rPr>
          <w:sz w:val="32"/>
          <w:szCs w:val="32"/>
        </w:rPr>
        <w:t xml:space="preserve"> R1</w:t>
      </w:r>
      <w:r w:rsidR="00AD250F">
        <w:t>-</w:t>
      </w:r>
      <w:r w:rsidR="00AD250F" w:rsidRPr="00AD250F">
        <w:rPr>
          <w:sz w:val="32"/>
          <w:szCs w:val="32"/>
        </w:rPr>
        <w:t>1811170</w:t>
      </w:r>
    </w:p>
    <w:p w14:paraId="60A5317D" w14:textId="6F7CC99D" w:rsidR="00E90E49" w:rsidRPr="00832F73" w:rsidRDefault="00832F73" w:rsidP="00357380">
      <w:pPr>
        <w:pStyle w:val="3GPPHeader"/>
      </w:pPr>
      <w:r>
        <w:t>Chengdu, China, October 8</w:t>
      </w:r>
      <w:r>
        <w:rPr>
          <w:vertAlign w:val="superscript"/>
        </w:rPr>
        <w:t>th</w:t>
      </w:r>
      <w:r>
        <w:t xml:space="preserve"> – 12</w:t>
      </w:r>
      <w:r>
        <w:rPr>
          <w:vertAlign w:val="superscript"/>
        </w:rPr>
        <w:t>th</w:t>
      </w:r>
      <w:r>
        <w:t xml:space="preserve"> 2018</w:t>
      </w:r>
    </w:p>
    <w:p w14:paraId="3C6869D1" w14:textId="3746911A" w:rsidR="00E90E49" w:rsidRPr="00832F73" w:rsidRDefault="00E90E49" w:rsidP="00832F73">
      <w:pPr>
        <w:pStyle w:val="3GPPHeader"/>
        <w:spacing w:after="0"/>
        <w:rPr>
          <w:sz w:val="22"/>
        </w:rPr>
      </w:pPr>
      <w:r w:rsidRPr="00832F73">
        <w:rPr>
          <w:sz w:val="22"/>
        </w:rPr>
        <w:t>Agenda Item:</w:t>
      </w:r>
      <w:r w:rsidRPr="00832F73">
        <w:rPr>
          <w:sz w:val="22"/>
        </w:rPr>
        <w:tab/>
      </w:r>
      <w:r w:rsidR="002C6C20" w:rsidRPr="00E10CE7">
        <w:rPr>
          <w:sz w:val="22"/>
        </w:rPr>
        <w:t>7.1.2.</w:t>
      </w:r>
      <w:r w:rsidR="007668F8" w:rsidRPr="00E10CE7">
        <w:rPr>
          <w:sz w:val="22"/>
        </w:rPr>
        <w:t>1</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5F275BCA" w:rsidR="00E90E49" w:rsidRPr="00832F73" w:rsidRDefault="003D3C45" w:rsidP="00832F73">
      <w:pPr>
        <w:pStyle w:val="3GPPHeader"/>
        <w:spacing w:after="0"/>
        <w:rPr>
          <w:sz w:val="22"/>
        </w:rPr>
      </w:pPr>
      <w:r w:rsidRPr="00832F73">
        <w:rPr>
          <w:sz w:val="22"/>
        </w:rPr>
        <w:t>Title:</w:t>
      </w:r>
      <w:r w:rsidR="00E90E49" w:rsidRPr="00832F73">
        <w:rPr>
          <w:sz w:val="22"/>
        </w:rPr>
        <w:tab/>
      </w:r>
      <w:r w:rsidR="007668F8" w:rsidRPr="00832F73">
        <w:rPr>
          <w:sz w:val="22"/>
        </w:rPr>
        <w:t>Maintenance for multi-antenna scheme</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bookmarkStart w:id="0" w:name="_GoBack"/>
      <w:bookmarkEnd w:id="0"/>
    </w:p>
    <w:p w14:paraId="51D91FCE" w14:textId="4EA75E7C" w:rsidR="007C3E03" w:rsidRDefault="007C3E03" w:rsidP="00331E66">
      <w:pPr>
        <w:pStyle w:val="BodyText"/>
      </w:pPr>
      <w:r w:rsidRPr="00747A7D">
        <w:t xml:space="preserve">This contribution addresses </w:t>
      </w:r>
      <w:r w:rsidR="000B3EBD" w:rsidRPr="00747A7D">
        <w:t>r</w:t>
      </w:r>
      <w:r w:rsidRPr="00747A7D">
        <w:t xml:space="preserve">emaining corrections needed for </w:t>
      </w:r>
      <w:r w:rsidR="002339BD" w:rsidRPr="00747A7D">
        <w:t xml:space="preserve">uplink </w:t>
      </w:r>
      <w:r w:rsidRPr="00747A7D">
        <w:t xml:space="preserve">multi-antenna transmission, including </w:t>
      </w:r>
      <w:r w:rsidR="000B3EBD" w:rsidRPr="00747A7D">
        <w:t>corrections for</w:t>
      </w:r>
      <w:r w:rsidRPr="00747A7D">
        <w:t xml:space="preserve"> </w:t>
      </w:r>
      <w:r w:rsidR="002339BD" w:rsidRPr="00747A7D">
        <w:t xml:space="preserve">uplink </w:t>
      </w:r>
      <w:r w:rsidRPr="00747A7D">
        <w:t>port mapping</w:t>
      </w:r>
      <w:r w:rsidR="002339BD" w:rsidRPr="00747A7D">
        <w:t xml:space="preserve">, </w:t>
      </w:r>
      <w:r w:rsidRPr="00747A7D">
        <w:t xml:space="preserve">the need for a switching gap for codebook based and </w:t>
      </w:r>
      <w:r w:rsidR="000C20CF" w:rsidRPr="00747A7D">
        <w:t>non-</w:t>
      </w:r>
      <w:proofErr w:type="gramStart"/>
      <w:r w:rsidRPr="00747A7D">
        <w:t>codebook based</w:t>
      </w:r>
      <w:proofErr w:type="gramEnd"/>
      <w:r w:rsidRPr="00747A7D">
        <w:t xml:space="preserve"> transmission, </w:t>
      </w:r>
      <w:r w:rsidR="009B1B1C" w:rsidRPr="00747A7D">
        <w:t xml:space="preserve">and </w:t>
      </w:r>
      <w:r w:rsidR="002339BD" w:rsidRPr="00747A7D">
        <w:t>which SRS resources can be transmitted simultaneously</w:t>
      </w:r>
      <w:r w:rsidRPr="00747A7D">
        <w:t>.  Corrections for power scaling for PUSCH and SRS with UL MIMO that are discussed in a companion paper [1] are introduced.</w:t>
      </w:r>
      <w:r w:rsidR="002C6C20" w:rsidRPr="00832F73">
        <w:t xml:space="preserve"> </w:t>
      </w:r>
      <w:r w:rsidRPr="00832F73">
        <w:t xml:space="preserve">  </w:t>
      </w:r>
    </w:p>
    <w:p w14:paraId="319E4D89" w14:textId="012ECF13" w:rsidR="002339BD" w:rsidRPr="00832F73" w:rsidRDefault="00377117" w:rsidP="000672F6">
      <w:pPr>
        <w:pStyle w:val="BodyText"/>
      </w:pPr>
      <w:r w:rsidRPr="00832F73">
        <w:t>High level proposals as well as text proposals are provided to correct the identified problems.</w:t>
      </w:r>
    </w:p>
    <w:p w14:paraId="020415C4" w14:textId="75AF4E54" w:rsidR="004000E8" w:rsidRDefault="00230D18" w:rsidP="00CE0424">
      <w:pPr>
        <w:pStyle w:val="Heading1"/>
      </w:pPr>
      <w:bookmarkStart w:id="1" w:name="_Ref178064866"/>
      <w:r>
        <w:t>2</w:t>
      </w:r>
      <w:r>
        <w:tab/>
      </w:r>
      <w:bookmarkEnd w:id="1"/>
      <w:r w:rsidR="007668F8">
        <w:t>Identified essential corrections</w:t>
      </w:r>
    </w:p>
    <w:p w14:paraId="67FD6896" w14:textId="0CC11E87" w:rsidR="00864123" w:rsidRDefault="002C6C20" w:rsidP="00835213">
      <w:pPr>
        <w:pStyle w:val="Heading2"/>
      </w:pPr>
      <w:r>
        <w:t xml:space="preserve">2.1 </w:t>
      </w:r>
      <w:r>
        <w:tab/>
      </w:r>
      <w:r w:rsidR="00864123">
        <w:t>Multi-antenna scheme</w:t>
      </w:r>
    </w:p>
    <w:p w14:paraId="5F933EA7" w14:textId="3160DE4F" w:rsidR="004F7D0A" w:rsidRDefault="004F7D0A" w:rsidP="004F7D0A">
      <w:pPr>
        <w:pStyle w:val="Heading3"/>
      </w:pPr>
      <w:r>
        <w:t xml:space="preserve">2.1.1 </w:t>
      </w:r>
      <w:r>
        <w:tab/>
        <w:t>Antenna port definitions</w:t>
      </w:r>
    </w:p>
    <w:p w14:paraId="3F224AF8" w14:textId="51B15058" w:rsidR="000D3A57" w:rsidRPr="00832F73" w:rsidRDefault="000D3A57" w:rsidP="000672F6">
      <w:r w:rsidRPr="00832F73">
        <w:t xml:space="preserve">Figure </w:t>
      </w:r>
      <w:r w:rsidRPr="00832F73">
        <w:rPr>
          <w:noProof/>
        </w:rPr>
        <w:t>1</w:t>
      </w:r>
      <w:r w:rsidRPr="00832F73">
        <w:t xml:space="preserve"> below illustrates precoding and layer mapping operations for PUSCH layers, PUSCH DM-RS, and SRS.  The processing flow is shown on the left.  </w:t>
      </w:r>
      <w:r w:rsidR="00853B3C">
        <w:t xml:space="preserve">The precoding for DMRS and PUSCH as well as the mapping for SRS as </w:t>
      </w:r>
      <w:r w:rsidRPr="00832F73">
        <w:t xml:space="preserve">represented in the current version of 38.211 </w:t>
      </w:r>
      <w:r w:rsidR="00853B3C">
        <w:t>are shown to the right of the processing flow</w:t>
      </w:r>
      <w:r w:rsidRPr="00832F73">
        <w:t>.</w:t>
      </w:r>
    </w:p>
    <w:p w14:paraId="21A2E316" w14:textId="77777777" w:rsidR="000D3A57" w:rsidRPr="00832F73" w:rsidRDefault="000D3A57" w:rsidP="000D3A57">
      <w:pPr>
        <w:keepNext/>
      </w:pPr>
    </w:p>
    <w:bookmarkStart w:id="2" w:name="_Ref506311907"/>
    <w:p w14:paraId="00EE986A" w14:textId="1A642A5F" w:rsidR="000D3A57" w:rsidRDefault="002F4ACE" w:rsidP="000D3A57">
      <w:pPr>
        <w:pStyle w:val="Caption"/>
        <w:jc w:val="center"/>
      </w:pPr>
      <w:r>
        <w:object w:dxaOrig="21390" w:dyaOrig="8251" w14:anchorId="60766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85.95pt" o:ole="">
            <v:imagedata r:id="rId8" o:title=""/>
          </v:shape>
          <o:OLEObject Type="Embed" ProgID="Visio.Drawing.15" ShapeID="_x0000_i1025" DrawAspect="Content" ObjectID="_1599658213" r:id="rId9"/>
        </w:object>
      </w:r>
    </w:p>
    <w:p w14:paraId="5C59D0AE" w14:textId="197F6C90" w:rsidR="000D3A57" w:rsidRPr="00832F73" w:rsidRDefault="000D3A57" w:rsidP="000D3A57">
      <w:pPr>
        <w:pStyle w:val="Caption"/>
        <w:jc w:val="center"/>
      </w:pPr>
      <w:r w:rsidRPr="00832F73">
        <w:t xml:space="preserve">Figure </w:t>
      </w:r>
      <w:r>
        <w:fldChar w:fldCharType="begin"/>
      </w:r>
      <w:r w:rsidRPr="00832F73">
        <w:instrText xml:space="preserve"> SEQ Figure \* ARABIC </w:instrText>
      </w:r>
      <w:r>
        <w:fldChar w:fldCharType="separate"/>
      </w:r>
      <w:r w:rsidR="006B39F4">
        <w:rPr>
          <w:noProof/>
        </w:rPr>
        <w:t>1</w:t>
      </w:r>
      <w:r>
        <w:fldChar w:fldCharType="end"/>
      </w:r>
      <w:bookmarkEnd w:id="2"/>
    </w:p>
    <w:p w14:paraId="42554343" w14:textId="4671C498" w:rsidR="000D3A57" w:rsidRPr="00832F73" w:rsidRDefault="000D3A57" w:rsidP="000672F6">
      <w:pPr>
        <w:jc w:val="both"/>
      </w:pPr>
      <w:r w:rsidRPr="00832F73">
        <w:t xml:space="preserve">Starting with the </w:t>
      </w:r>
      <w:r w:rsidR="00DA1E39" w:rsidRPr="00832F73">
        <w:t xml:space="preserve">DM-RS </w:t>
      </w:r>
      <w:r w:rsidRPr="00832F73">
        <w:t xml:space="preserve">precoding step, DM-RS associated with antenna port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m:t>
            </m:r>
          </m:sub>
        </m:sSub>
      </m:oMath>
      <w:r w:rsidRPr="00832F73">
        <w:t xml:space="preserve"> </w:t>
      </w:r>
      <w:r w:rsidR="00DA1E39" w:rsidRPr="00832F73">
        <w:t>(</w:t>
      </w:r>
      <w:r w:rsidR="005059A6">
        <w:t>corresponding to</w:t>
      </w:r>
      <w:r w:rsidR="00DA1E39" w:rsidRPr="00832F73">
        <w:t xml:space="preserve"> PUSCH layer</w:t>
      </w:r>
      <w:r w:rsidR="005059A6">
        <w:t xml:space="preserve"> </w:t>
      </w:r>
      <m:oMath>
        <m:r>
          <w:rPr>
            <w:rFonts w:ascii="Cambria Math" w:hAnsi="Cambria Math"/>
          </w:rPr>
          <m:t>ν</m:t>
        </m:r>
      </m:oMath>
      <w:r w:rsidR="00DA1E39" w:rsidRPr="00832F73">
        <w:t xml:space="preserve">) </w:t>
      </w:r>
      <w:r w:rsidRPr="00832F73">
        <w:t xml:space="preserve">are precoded </w:t>
      </w:r>
      <w:r w:rsidR="00DA1E39" w:rsidRPr="00832F73">
        <w:t xml:space="preserve">by the matrix </w:t>
      </w:r>
      <m:oMath>
        <m:r>
          <m:rPr>
            <m:sty m:val="bi"/>
          </m:rPr>
          <w:rPr>
            <w:rFonts w:ascii="Cambria Math" w:hAnsi="Cambria Math"/>
          </w:rPr>
          <m:t>W</m:t>
        </m:r>
      </m:oMath>
      <w:r w:rsidR="00DA1E39" w:rsidRPr="00832F73">
        <w:t xml:space="preserve"> </w:t>
      </w:r>
      <w:r w:rsidRPr="00832F73">
        <w:t xml:space="preserve">to form precoded DM-RS 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Pr="00832F73">
        <w:t>.  Ports prior to precoding have a tilde while ports after precoding does not have a tilde notation.</w:t>
      </w:r>
    </w:p>
    <w:p w14:paraId="5C02352F" w14:textId="7F186BDB" w:rsidR="000D3A57" w:rsidRPr="00832F73" w:rsidRDefault="00DA1E39" w:rsidP="000672F6">
      <w:pPr>
        <w:jc w:val="both"/>
      </w:pPr>
      <w:r w:rsidRPr="00832F73">
        <w:lastRenderedPageBreak/>
        <w:t xml:space="preserve">The </w:t>
      </w:r>
      <w:r w:rsidR="000D3A57" w:rsidRPr="00832F73">
        <w:t>PUSCH is precoded in the same manner as its associated DM-RS</w:t>
      </w:r>
      <w:r w:rsidR="004D734F">
        <w:t>.</w:t>
      </w:r>
      <w:r w:rsidR="000D3A57" w:rsidRPr="00832F73">
        <w:t xml:space="preserve"> </w:t>
      </w:r>
      <w:proofErr w:type="gramStart"/>
      <w:r w:rsidR="004D734F">
        <w:t>Therefore</w:t>
      </w:r>
      <w:proofErr w:type="gramEnd"/>
      <w:r w:rsidR="004D734F">
        <w:t xml:space="preserve"> </w:t>
      </w:r>
      <w:r w:rsidR="000D3A57" w:rsidRPr="00832F73">
        <w:t xml:space="preserve">PUSCH layers </w:t>
      </w:r>
      <m:oMath>
        <m:r>
          <w:rPr>
            <w:rFonts w:ascii="Cambria Math" w:hAnsi="Cambria Math"/>
          </w:rPr>
          <m:t>0..ν-1</m:t>
        </m:r>
      </m:oMath>
      <w:r w:rsidR="004D734F">
        <w:rPr>
          <w:rFonts w:eastAsiaTheme="minorEastAsia"/>
        </w:rPr>
        <w:t xml:space="preserve"> </w:t>
      </w:r>
      <w:r w:rsidR="000D3A57" w:rsidRPr="00832F73">
        <w:t xml:space="preserve">are precoded </w:t>
      </w:r>
      <w:r w:rsidRPr="00832F73">
        <w:t xml:space="preserve">with </w:t>
      </w:r>
      <w:r w:rsidR="004D734F">
        <w:t xml:space="preserve">same </w:t>
      </w:r>
      <w:r w:rsidRPr="00832F73">
        <w:t xml:space="preserve">precoding matrix </w:t>
      </w:r>
      <m:oMath>
        <m:r>
          <m:rPr>
            <m:sty m:val="bi"/>
          </m:rPr>
          <w:rPr>
            <w:rFonts w:ascii="Cambria Math" w:hAnsi="Cambria Math"/>
          </w:rPr>
          <m:t>W</m:t>
        </m:r>
      </m:oMath>
      <w:r w:rsidRPr="00832F73">
        <w:t xml:space="preserve"> </w:t>
      </w:r>
      <w:r w:rsidR="004D734F">
        <w:t xml:space="preserve">as DMRS ports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ν-1</m:t>
            </m:r>
          </m:sub>
        </m:sSub>
      </m:oMath>
      <w:r w:rsidR="004D734F">
        <w:rPr>
          <w:rFonts w:eastAsiaTheme="minorEastAsia"/>
        </w:rPr>
        <w:t xml:space="preserve"> </w:t>
      </w:r>
      <w:r w:rsidR="000D3A57" w:rsidRPr="00832F73">
        <w:t xml:space="preserve">to form </w:t>
      </w:r>
      <w:r w:rsidRPr="00832F73">
        <w:t xml:space="preserve">a </w:t>
      </w:r>
      <w:r w:rsidR="000D3A57" w:rsidRPr="00832F73">
        <w:t xml:space="preserve">precoded PUSCH </w:t>
      </w:r>
      <w:r w:rsidRPr="00832F73">
        <w:t xml:space="preserve">transmission </w:t>
      </w:r>
      <w:r w:rsidR="000D3A57" w:rsidRPr="00832F73">
        <w:t xml:space="preserve">associated with antenna ports </w:t>
      </w:r>
      <m:oMath>
        <m:sSub>
          <m:sSubPr>
            <m:ctrlPr>
              <w:rPr>
                <w:rFonts w:ascii="Cambria Math" w:hAnsi="Cambria Math"/>
                <w:i/>
              </w:rPr>
            </m:ctrlPr>
          </m:sSubPr>
          <m:e>
            <m:r>
              <w:rPr>
                <w:rFonts w:ascii="Cambria Math" w:hAnsi="Cambria Math"/>
              </w:rPr>
              <m:t>p</m:t>
            </m:r>
          </m:e>
          <m:sub>
            <m:r>
              <w:rPr>
                <w:rFonts w:ascii="Cambria Math" w:hAnsi="Cambria Math"/>
              </w:rPr>
              <m:t>ρ</m:t>
            </m:r>
          </m:sub>
        </m:sSub>
      </m:oMath>
      <w:r w:rsidR="000D3A57" w:rsidRPr="00832F73">
        <w:t xml:space="preserve">.  </w:t>
      </w:r>
    </w:p>
    <w:p w14:paraId="17E4C755" w14:textId="77777777" w:rsidR="00DA0442" w:rsidRDefault="00DA0442" w:rsidP="00DA0442">
      <w:pPr>
        <w:jc w:val="both"/>
      </w:pPr>
      <w:r w:rsidRPr="00832F73">
        <w:t xml:space="preserve">The precoded PUSCH and thus also the embedded DM-RS are next mapped to respective physical resources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j</m:t>
                    </m:r>
                  </m:sub>
                </m:sSub>
                <m:r>
                  <w:rPr>
                    <w:rFonts w:ascii="Cambria Math" w:hAnsi="Cambria Math"/>
                  </w:rPr>
                  <m:t>,μ</m:t>
                </m:r>
              </m:e>
            </m:d>
          </m:sup>
        </m:sSubSup>
      </m:oMath>
      <w:r w:rsidRPr="00832F73">
        <w:t xml:space="preserve">, associated with one antenna port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832F73">
        <w:t>.  SRS reference signals do not have a specified precoding step and are directly associated with anten</w:t>
      </w:r>
      <w:proofErr w:type="spellStart"/>
      <w:r w:rsidRPr="00832F73">
        <w:t>na</w:t>
      </w:r>
      <w:proofErr w:type="spellEnd"/>
      <w:r w:rsidRPr="00832F73">
        <w:t xml:space="preserve"> ports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832F73">
        <w:t xml:space="preserve">.  Consequently, the SRS sequence </w:t>
      </w:r>
      <m:oMath>
        <m:sSup>
          <m:sSupPr>
            <m:ctrlPr>
              <w:rPr>
                <w:rFonts w:ascii="Cambria Math" w:hAnsi="Cambria Math"/>
                <w:i/>
              </w:rPr>
            </m:ctrlPr>
          </m:sSupPr>
          <m:e>
            <m:r>
              <w:rPr>
                <w:rFonts w:ascii="Cambria Math" w:hAnsi="Cambria Math"/>
              </w:rPr>
              <m:t>r</m:t>
            </m:r>
          </m:e>
          <m:sup>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p>
      </m:oMath>
      <w:r w:rsidRPr="00832F73">
        <w:t xml:space="preserve"> only needs to be mapped to the physical resource </w:t>
      </w: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bSup>
      </m:oMath>
      <w:r w:rsidRPr="00832F73">
        <w:t xml:space="preserve"> and hence, the actual SRS implementation mapping to physical antennas is always specification transparent.</w:t>
      </w:r>
    </w:p>
    <w:p w14:paraId="3E2CDB10" w14:textId="298C0BB2" w:rsidR="00A7462B" w:rsidRPr="00832F73" w:rsidRDefault="00A7462B" w:rsidP="00A7462B">
      <w:pPr>
        <w:jc w:val="both"/>
      </w:pPr>
      <w:r>
        <w:t xml:space="preserve">Then taking the SRS mapping equation along with the PUSCH precoding </w:t>
      </w:r>
      <w:r w:rsidRPr="00832F73">
        <w:t>above, it may be observed that the antenna port</w:t>
      </w:r>
      <w:r>
        <w:t xml:space="preserve">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sidRPr="00832F73">
        <w:t xml:space="preserve"> </w:t>
      </w:r>
      <w:r>
        <w:t xml:space="preserve">are </w:t>
      </w:r>
      <w:r w:rsidRPr="00832F73">
        <w:t xml:space="preserve">associated with both SRS and with precoded PUSCH in the current version of 38.211.  This is essential if SRS is to be useful: if SRS were transmitted on antenna ports unrelated to the antenna ports associated with PUSCH, the gNB would have no way to transform its measurements of SRS to CSI that can be used to determine </w:t>
      </w:r>
      <m:oMath>
        <m:r>
          <m:rPr>
            <m:sty m:val="bi"/>
          </m:rPr>
          <w:rPr>
            <w:rFonts w:ascii="Cambria Math" w:hAnsi="Cambria Math"/>
          </w:rPr>
          <m:t>W</m:t>
        </m:r>
      </m:oMath>
      <w:r w:rsidRPr="00832F73">
        <w:t>, or SRI, etc.  Furthermore, SRS is transmitted at different times than PUSCH, and is not always configured (for example, prior to RRC configuration during radio link setup) and likewise, a</w:t>
      </w:r>
      <w:proofErr w:type="spellStart"/>
      <w:r w:rsidRPr="00832F73">
        <w:t>ntenna</w:t>
      </w:r>
      <w:proofErr w:type="spellEnd"/>
      <w:r w:rsidRPr="00832F73">
        <w:t xml:space="preserve"> port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832F73">
        <w:t xml:space="preserve"> must exist prior to RRC configuration </w:t>
      </w:r>
      <w:proofErr w:type="gramStart"/>
      <w:r w:rsidRPr="00832F73">
        <w:t>in order to</w:t>
      </w:r>
      <w:proofErr w:type="gramEnd"/>
      <w:r w:rsidRPr="00832F73">
        <w:t xml:space="preserve"> be able to define a PUSCH transmission.  </w:t>
      </w:r>
    </w:p>
    <w:p w14:paraId="59DCD073" w14:textId="5AC8B95C" w:rsidR="00A7462B" w:rsidRDefault="00A7462B" w:rsidP="00A7462B">
      <w:pPr>
        <w:rPr>
          <w:rFonts w:eastAsiaTheme="minorEastAsia"/>
        </w:rPr>
      </w:pPr>
      <w:r w:rsidRPr="00832F73">
        <w:t>Since antenna port</w:t>
      </w:r>
      <w:r>
        <w:t xml:space="preserve">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t xml:space="preserve"> </w:t>
      </w:r>
      <w:r w:rsidRPr="00832F73">
        <w:t xml:space="preserve">exist independently of SRS and carries either or both of PUSCH and SRS, it is not properly called an ‘SRS port’.  The LTE terminology of ‘antenna port’ is more accurate, but perhaps </w:t>
      </w:r>
      <w:proofErr w:type="gramStart"/>
      <w:r w:rsidRPr="00832F73">
        <w:t>more vague</w:t>
      </w:r>
      <w:proofErr w:type="gramEnd"/>
      <w:r w:rsidRPr="00832F73">
        <w:t xml:space="preserve">.  An alternative to this is to </w:t>
      </w:r>
      <w:r>
        <w:t xml:space="preserve">indicate that both SRS and PUSCH may be carried on antenna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w:t>
      </w:r>
    </w:p>
    <w:p w14:paraId="674112B7" w14:textId="5711319A" w:rsidR="00A7462B" w:rsidRPr="00832F73" w:rsidRDefault="00A7462B" w:rsidP="00A7462B">
      <w:pPr>
        <w:jc w:val="both"/>
      </w:pPr>
      <w:r w:rsidRPr="00832F73">
        <w:t>One can visualize the antenna port</w:t>
      </w:r>
      <w:r>
        <w:t>s</w:t>
      </w:r>
      <w:r w:rsidRPr="00832F73">
        <w:t xml:space="preserv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w:t>
      </w:r>
      <w:r w:rsidRPr="00832F73">
        <w:t>as physical antenn</w:t>
      </w:r>
      <w:r>
        <w:t>a</w:t>
      </w:r>
      <w:r w:rsidR="005059A6">
        <w:t>s</w:t>
      </w:r>
      <w:r>
        <w:t xml:space="preserve">, </w:t>
      </w:r>
      <w:r w:rsidRPr="00832F73">
        <w:t>although it is not mandated by specifications as it is part of UE implementation</w:t>
      </w:r>
      <w:r>
        <w:t>, and t</w:t>
      </w:r>
      <w:r w:rsidRPr="00832F73">
        <w:t xml:space="preserve">he UE can freely use any implementation mapping between these antenna ports and the physical antennas. </w:t>
      </w:r>
      <w:r>
        <w:t xml:space="preserve"> </w:t>
      </w:r>
      <w:r w:rsidRPr="00832F73">
        <w:t xml:space="preserve">Note that </w:t>
      </w:r>
      <w:r>
        <w:t xml:space="preserve">since SRS is not always necessarily present, </w:t>
      </w:r>
      <w:r w:rsidRPr="00832F73">
        <w:t xml:space="preserve">this antenna port is not </w:t>
      </w:r>
      <w:r>
        <w:t xml:space="preserve">necessarily directly identified </w:t>
      </w:r>
      <w:r w:rsidRPr="00832F73">
        <w:t xml:space="preserve">by a reference signal, thereby extending the definition of an antenna port somewhat (although this extension was also used in LTE uplink for the P “uplink antenna ports”). </w:t>
      </w:r>
      <w:r>
        <w:t xml:space="preserve">When SRS is not present, but PUSCH is, the DMRS is mapped to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via the precoding matrix </w:t>
      </w:r>
      <m:oMath>
        <m:r>
          <m:rPr>
            <m:sty m:val="bi"/>
          </m:rPr>
          <w:rPr>
            <w:rFonts w:ascii="Cambria Math" w:eastAsiaTheme="minorEastAsia" w:hAnsi="Cambria Math"/>
          </w:rPr>
          <m:t>W</m:t>
        </m:r>
      </m:oMath>
      <w:r>
        <w:rPr>
          <w:rFonts w:eastAsiaTheme="minorEastAsia"/>
        </w:rPr>
        <w:t xml:space="preserve">, and so the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eastAsiaTheme="minorEastAsia"/>
        </w:rPr>
        <w:t xml:space="preserve"> are still </w:t>
      </w:r>
      <w:proofErr w:type="gramStart"/>
      <w:r>
        <w:rPr>
          <w:rFonts w:eastAsiaTheme="minorEastAsia"/>
        </w:rPr>
        <w:t>measurable, and</w:t>
      </w:r>
      <w:proofErr w:type="gramEnd"/>
      <w:r>
        <w:rPr>
          <w:rFonts w:eastAsiaTheme="minorEastAsia"/>
        </w:rPr>
        <w:t xml:space="preserve"> defined indirectly through the DMRS. </w:t>
      </w:r>
      <w:r>
        <w:t xml:space="preserve"> </w:t>
      </w:r>
      <w:r w:rsidRPr="00832F73">
        <w:t xml:space="preserve">Note also that the precoding matrix </w:t>
      </w:r>
      <m:oMath>
        <m:r>
          <m:rPr>
            <m:sty m:val="bi"/>
          </m:rPr>
          <w:rPr>
            <w:rFonts w:ascii="Cambria Math" w:hAnsi="Cambria Math"/>
          </w:rPr>
          <m:t>W</m:t>
        </m:r>
      </m:oMath>
      <w:r w:rsidRPr="00832F73">
        <w:t xml:space="preserve"> is the identity matrix in case non-</w:t>
      </w:r>
      <w:proofErr w:type="gramStart"/>
      <w:r w:rsidRPr="00832F73">
        <w:t>codebook b</w:t>
      </w:r>
      <w:proofErr w:type="spellStart"/>
      <w:r w:rsidRPr="00832F73">
        <w:t>ased</w:t>
      </w:r>
      <w:proofErr w:type="spellEnd"/>
      <w:proofErr w:type="gramEnd"/>
      <w:r w:rsidRPr="00832F73">
        <w:t xml:space="preserve"> precoding is used: as the layers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r</m:t>
                </m:r>
              </m:e>
            </m:acc>
          </m:e>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e>
            </m:d>
          </m:sup>
        </m:sSup>
      </m:oMath>
      <w:r w:rsidRPr="00832F73">
        <w:t xml:space="preserve"> are only transparently precoded, up to UE implementation, and hence unknown to gNB. </w:t>
      </w:r>
    </w:p>
    <w:p w14:paraId="6E9368EB" w14:textId="77777777" w:rsidR="00A7462B" w:rsidRDefault="00A7462B" w:rsidP="00E10CE7">
      <w:pPr>
        <w:keepNext/>
        <w:spacing w:after="0"/>
      </w:pPr>
      <w:r w:rsidRPr="008205D2">
        <w:rPr>
          <w:b/>
        </w:rPr>
        <w:t>Observations</w:t>
      </w:r>
      <w:r>
        <w:t>:</w:t>
      </w:r>
    </w:p>
    <w:p w14:paraId="282CF456" w14:textId="712F21DB" w:rsidR="00A7462B" w:rsidRDefault="00A7462B" w:rsidP="00A7462B">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t xml:space="preserve">It is necessary for SRS to occupy the same set of antenna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r>
          <w:rPr>
            <w:rFonts w:ascii="Cambria Math" w:hAnsi="Cambria Math"/>
          </w:rPr>
          <m:t xml:space="preserve"> </m:t>
        </m:r>
      </m:oMath>
      <w:r>
        <w:rPr>
          <w:rFonts w:ascii="Times New Roman" w:hAnsi="Times New Roman"/>
          <w:sz w:val="20"/>
          <w:szCs w:val="20"/>
          <w:lang w:val="en-GB"/>
        </w:rPr>
        <w:t>a</w:t>
      </w:r>
      <w:proofErr w:type="spellStart"/>
      <w:r>
        <w:rPr>
          <w:rFonts w:ascii="Times New Roman" w:hAnsi="Times New Roman"/>
          <w:sz w:val="20"/>
          <w:szCs w:val="20"/>
          <w:lang w:val="en-GB"/>
        </w:rPr>
        <w:t>lso</w:t>
      </w:r>
      <w:proofErr w:type="spellEnd"/>
      <w:r>
        <w:rPr>
          <w:rFonts w:ascii="Times New Roman" w:hAnsi="Times New Roman"/>
          <w:sz w:val="20"/>
          <w:szCs w:val="20"/>
          <w:lang w:val="en-GB"/>
        </w:rPr>
        <w:t xml:space="preserve"> occupied by PUSCH (after precoding in case of </w:t>
      </w:r>
      <w:proofErr w:type="gramStart"/>
      <w:r>
        <w:rPr>
          <w:rFonts w:ascii="Times New Roman" w:hAnsi="Times New Roman"/>
          <w:sz w:val="20"/>
          <w:szCs w:val="20"/>
          <w:lang w:val="en-GB"/>
        </w:rPr>
        <w:t>codebook based</w:t>
      </w:r>
      <w:proofErr w:type="gramEnd"/>
      <w:r>
        <w:rPr>
          <w:rFonts w:ascii="Times New Roman" w:hAnsi="Times New Roman"/>
          <w:sz w:val="20"/>
          <w:szCs w:val="20"/>
          <w:lang w:val="en-GB"/>
        </w:rPr>
        <w:t xml:space="preserve"> UL) for SRS to be useful for PUSCH CSI.</w:t>
      </w:r>
    </w:p>
    <w:p w14:paraId="5FA64F8C" w14:textId="73EA0D1A" w:rsidR="00A7462B" w:rsidRDefault="00A7462B" w:rsidP="00A7462B">
      <w:pPr>
        <w:pStyle w:val="ListParagraph"/>
        <w:numPr>
          <w:ilvl w:val="0"/>
          <w:numId w:val="27"/>
        </w:numPr>
        <w:rPr>
          <w:rFonts w:ascii="Times New Roman" w:hAnsi="Times New Roman"/>
          <w:sz w:val="20"/>
          <w:szCs w:val="20"/>
          <w:lang w:val="en-GB"/>
        </w:rPr>
      </w:pPr>
      <w:r>
        <w:rPr>
          <w:rFonts w:ascii="Times New Roman" w:hAnsi="Times New Roman"/>
          <w:sz w:val="20"/>
          <w:szCs w:val="20"/>
          <w:lang w:val="en-GB"/>
        </w:rPr>
        <w:t xml:space="preserve">Antenna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Pr>
          <w:rFonts w:ascii="Times New Roman" w:hAnsi="Times New Roman"/>
          <w:sz w:val="20"/>
          <w:szCs w:val="20"/>
          <w:lang w:val="en-GB"/>
        </w:rPr>
        <w:t xml:space="preserve"> for PUSCH transmission must exist independently of SRS</w:t>
      </w:r>
    </w:p>
    <w:p w14:paraId="0A469291" w14:textId="77777777" w:rsidR="00A7462B" w:rsidRPr="007C2F1A" w:rsidRDefault="00A7462B" w:rsidP="00A7462B">
      <w:pPr>
        <w:pStyle w:val="ListParagraph"/>
        <w:numPr>
          <w:ilvl w:val="1"/>
          <w:numId w:val="27"/>
        </w:numPr>
        <w:rPr>
          <w:rFonts w:ascii="Times New Roman" w:hAnsi="Times New Roman"/>
          <w:sz w:val="20"/>
          <w:szCs w:val="20"/>
          <w:lang w:val="en-GB"/>
        </w:rPr>
      </w:pPr>
      <w:r>
        <w:rPr>
          <w:rFonts w:ascii="Times New Roman" w:hAnsi="Times New Roman"/>
          <w:sz w:val="20"/>
          <w:szCs w:val="20"/>
          <w:lang w:val="en-GB"/>
        </w:rPr>
        <w:t xml:space="preserve">SRS is not transmitted simultaneously with PUSCH, nor always configured </w:t>
      </w:r>
    </w:p>
    <w:p w14:paraId="5509457D" w14:textId="309075EE" w:rsidR="00A7462B" w:rsidRDefault="00A7462B" w:rsidP="00E10CE7">
      <w:pPr>
        <w:spacing w:after="0"/>
        <w:jc w:val="both"/>
      </w:pPr>
      <w:r w:rsidRPr="00E10CE7">
        <w:rPr>
          <w:b/>
        </w:rPr>
        <w:t>Proposal</w:t>
      </w:r>
      <w:r w:rsidR="00371716">
        <w:rPr>
          <w:b/>
        </w:rPr>
        <w:t xml:space="preserve"> 1</w:t>
      </w:r>
      <w:r>
        <w:t>:</w:t>
      </w:r>
    </w:p>
    <w:p w14:paraId="5DBE7E56" w14:textId="38BE898B" w:rsidR="00A7462B" w:rsidRDefault="00A7462B" w:rsidP="00E10CE7">
      <w:pPr>
        <w:pStyle w:val="ListParagraph"/>
        <w:numPr>
          <w:ilvl w:val="0"/>
          <w:numId w:val="52"/>
        </w:numPr>
        <w:jc w:val="both"/>
      </w:pPr>
      <w:r>
        <w:t>Clarify that antenna ports starting with 0 carry PUSCH DMRS and those starting with 1000 carry either or both of SRS and PUSCH</w:t>
      </w:r>
      <w:r w:rsidR="00973488">
        <w:rPr>
          <w:lang w:val="en-US"/>
        </w:rPr>
        <w:t>, as follows:</w:t>
      </w:r>
    </w:p>
    <w:p w14:paraId="442133CB" w14:textId="77777777" w:rsidR="00A7462B" w:rsidRDefault="00A7462B" w:rsidP="000672F6">
      <w:pPr>
        <w:jc w:val="both"/>
      </w:pPr>
    </w:p>
    <w:p w14:paraId="2CA33418" w14:textId="77777777" w:rsidR="00973488" w:rsidRPr="00832F73" w:rsidRDefault="00973488" w:rsidP="00BF5C6D">
      <w:pPr>
        <w:pStyle w:val="BodyText"/>
        <w:keepNext/>
      </w:pPr>
      <w:r w:rsidRPr="00832F73">
        <w:lastRenderedPageBreak/>
        <w:t>For 38.211 section 6.2:</w:t>
      </w:r>
    </w:p>
    <w:p w14:paraId="0C123DE9" w14:textId="77777777" w:rsidR="00973488" w:rsidRPr="00832F73" w:rsidRDefault="00973488" w:rsidP="00BF5C6D">
      <w:pPr>
        <w:keepNext/>
        <w:spacing w:after="0"/>
      </w:pPr>
      <w:r w:rsidRPr="00832F73">
        <w:rPr>
          <w:highlight w:val="yellow"/>
        </w:rPr>
        <w:t>&gt;&gt;&gt;&gt;&gt;&gt;&gt;&gt;&gt;&gt;&gt;&gt; Start text proposal 1 &gt;&gt;&gt;&gt;&gt;&gt;&gt;&gt;&gt;&gt;&gt;&gt;</w:t>
      </w:r>
    </w:p>
    <w:p w14:paraId="32DDC82C" w14:textId="77777777" w:rsidR="00973488" w:rsidRPr="00E10CE7" w:rsidRDefault="00973488" w:rsidP="00BF5C6D">
      <w:pPr>
        <w:keepNext/>
        <w:rPr>
          <w:sz w:val="28"/>
        </w:rPr>
      </w:pPr>
      <w:bookmarkStart w:id="3" w:name="_Toc524610218"/>
      <w:r w:rsidRPr="00E10CE7">
        <w:rPr>
          <w:sz w:val="28"/>
        </w:rPr>
        <w:t>6.2</w:t>
      </w:r>
      <w:r w:rsidRPr="00E10CE7">
        <w:rPr>
          <w:sz w:val="28"/>
        </w:rPr>
        <w:tab/>
        <w:t>Physical resources</w:t>
      </w:r>
      <w:bookmarkEnd w:id="3"/>
    </w:p>
    <w:p w14:paraId="01550021" w14:textId="77777777" w:rsidR="00973488" w:rsidRDefault="00973488" w:rsidP="00973488">
      <w:r>
        <w:t>The frame structure and physical resources the UE shall use when transmitting in the uplink transmissions are defined in Clause 4</w:t>
      </w:r>
      <w:r w:rsidRPr="002E5B01">
        <w:t>.</w:t>
      </w:r>
    </w:p>
    <w:p w14:paraId="34F291AF" w14:textId="77777777" w:rsidR="00973488" w:rsidRDefault="00973488" w:rsidP="00973488">
      <w:r>
        <w:t>The following antenna ports are defined for the uplink:</w:t>
      </w:r>
    </w:p>
    <w:p w14:paraId="58CBBA0B" w14:textId="77777777" w:rsidR="00973488" w:rsidRPr="002E0271" w:rsidRDefault="00973488" w:rsidP="00973488">
      <w:pPr>
        <w:pStyle w:val="B1"/>
      </w:pPr>
      <w:r>
        <w:t>-</w:t>
      </w:r>
      <w:r>
        <w:tab/>
        <w:t xml:space="preserve">Antenna ports starting with 0 for </w:t>
      </w:r>
      <w:r w:rsidRPr="0087223A">
        <w:rPr>
          <w:rFonts w:ascii="n" w:hAnsi="n"/>
          <w:strike/>
          <w:color w:val="FF0000"/>
        </w:rPr>
        <w:t>PUSCH and associated</w:t>
      </w:r>
      <w:r w:rsidRPr="0087223A">
        <w:rPr>
          <w:color w:val="FF0000"/>
        </w:rPr>
        <w:t xml:space="preserve"> </w:t>
      </w:r>
      <w:r>
        <w:t xml:space="preserve">demodulation reference signals </w:t>
      </w:r>
      <w:r w:rsidRPr="0087223A">
        <w:rPr>
          <w:color w:val="FF0000"/>
          <w:u w:val="single"/>
        </w:rPr>
        <w:t>for PUSCH</w:t>
      </w:r>
    </w:p>
    <w:p w14:paraId="1AAD2AAD" w14:textId="77777777" w:rsidR="00973488" w:rsidRDefault="00973488" w:rsidP="00973488">
      <w:pPr>
        <w:pStyle w:val="B1"/>
      </w:pPr>
      <w:r w:rsidRPr="002E0271">
        <w:t>-</w:t>
      </w:r>
      <w:r w:rsidRPr="002E0271">
        <w:tab/>
        <w:t>Antenna ports starting with 1000 for SRS</w:t>
      </w:r>
      <w:r w:rsidRPr="0087223A">
        <w:rPr>
          <w:color w:val="FF0000"/>
          <w:u w:val="single"/>
        </w:rPr>
        <w:t>, PUSCH</w:t>
      </w:r>
    </w:p>
    <w:p w14:paraId="004AF596" w14:textId="77777777" w:rsidR="00973488" w:rsidRDefault="00973488" w:rsidP="00973488">
      <w:pPr>
        <w:pStyle w:val="B1"/>
      </w:pPr>
      <w:r>
        <w:t>-</w:t>
      </w:r>
      <w:r>
        <w:tab/>
        <w:t>Antenna ports starting with 2000 for PUCCH</w:t>
      </w:r>
    </w:p>
    <w:p w14:paraId="56BC1A96" w14:textId="77777777" w:rsidR="00973488" w:rsidRPr="001C4213" w:rsidRDefault="00973488" w:rsidP="00973488">
      <w:pPr>
        <w:pStyle w:val="B1"/>
      </w:pPr>
      <w:r w:rsidRPr="0001085C">
        <w:t>-</w:t>
      </w:r>
      <w:r w:rsidRPr="0001085C">
        <w:tab/>
        <w:t>Antenna port 4000 for PRACH</w:t>
      </w:r>
      <w:r w:rsidRPr="001C4213">
        <w:rPr>
          <w:b/>
        </w:rPr>
        <w:t xml:space="preserve"> </w:t>
      </w:r>
    </w:p>
    <w:p w14:paraId="0954D4F3" w14:textId="77777777" w:rsidR="00973488" w:rsidRPr="00832F73" w:rsidRDefault="00973488" w:rsidP="00973488">
      <w:r w:rsidRPr="00832F73">
        <w:rPr>
          <w:highlight w:val="yellow"/>
        </w:rPr>
        <w:t>&gt;&gt;&gt;&gt;&gt;&gt;&gt;&gt;&gt;&gt;&gt;&gt; End text proposal 1 &gt;&gt;&gt;&gt;&gt;&gt;&gt;&gt;&gt;&gt;&gt;&gt;&gt;</w:t>
      </w:r>
    </w:p>
    <w:p w14:paraId="1DBDA96B" w14:textId="05337D93" w:rsidR="00E16C12" w:rsidRDefault="009B094D" w:rsidP="000672F6">
      <w:pPr>
        <w:jc w:val="both"/>
      </w:pPr>
      <w:r>
        <w:t xml:space="preserve">SRS may be used to facilitate switching among different beams or physical antennas in a UE, and so the UE may be configured with more SRS ports than the maximum number of layers it can transmit.  This is one motivation for defining SRS resources, so that subsets of beam or physical antennas can be </w:t>
      </w:r>
      <w:r w:rsidR="005419E4">
        <w:t>addressed.  Therefore, the SRS resource is also an identifier of the spatial filtering used by the UE.   This principle is used by non-</w:t>
      </w:r>
      <w:proofErr w:type="gramStart"/>
      <w:r w:rsidR="005419E4">
        <w:t>codebook based</w:t>
      </w:r>
      <w:proofErr w:type="gramEnd"/>
      <w:r w:rsidR="005419E4">
        <w:t xml:space="preserve"> precoding where each SRS resource (identified by an SRI) is tied to a DMRS port.  </w:t>
      </w:r>
    </w:p>
    <w:p w14:paraId="5C507412" w14:textId="133FBEAF" w:rsidR="00587288" w:rsidRDefault="00E16C12" w:rsidP="000672F6">
      <w:pPr>
        <w:jc w:val="both"/>
        <w:rPr>
          <w:rFonts w:eastAsiaTheme="minorEastAsia"/>
        </w:rPr>
      </w:pPr>
      <w:r>
        <w:t xml:space="preserve">Because the ports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ρ-1</m:t>
            </m:r>
          </m:sub>
        </m:sSub>
      </m:oMath>
      <w:r w:rsidR="00587288" w:rsidRPr="00832F73">
        <w:t xml:space="preserve"> </w:t>
      </w:r>
      <w:r w:rsidR="00587288">
        <w:t xml:space="preserve"> are indexed from </w:t>
      </w:r>
      <m:oMath>
        <m:r>
          <w:rPr>
            <w:rFonts w:ascii="Cambria Math" w:hAnsi="Cambria Math"/>
          </w:rPr>
          <m:t>0</m:t>
        </m:r>
      </m:oMath>
      <w:r w:rsidR="00587288">
        <w:rPr>
          <w:rFonts w:eastAsiaTheme="minorEastAsia"/>
        </w:rPr>
        <w:t xml:space="preserve"> to </w:t>
      </w:r>
      <m:oMath>
        <m:r>
          <w:rPr>
            <w:rFonts w:ascii="Cambria Math" w:eastAsiaTheme="minorEastAsia" w:hAnsi="Cambria Math"/>
          </w:rPr>
          <m:t>ρ</m:t>
        </m:r>
      </m:oMath>
      <w:r w:rsidR="00587288">
        <w:rPr>
          <w:rFonts w:eastAsiaTheme="minorEastAsia"/>
        </w:rPr>
        <w:t xml:space="preserve">, while the single port in each SRS resource used in non-codebook based always has index </w:t>
      </w:r>
      <m:oMath>
        <m:r>
          <w:rPr>
            <w:rFonts w:ascii="Cambria Math" w:eastAsiaTheme="minorEastAsia" w:hAnsi="Cambria Math"/>
          </w:rPr>
          <m:t>0</m:t>
        </m:r>
      </m:oMath>
      <w:r w:rsidR="00587288">
        <w:rPr>
          <w:rFonts w:eastAsiaTheme="minorEastAsia"/>
        </w:rPr>
        <w:t xml:space="preserve">, the mapping for PUSCH precoding below may </w:t>
      </w:r>
      <w:r w:rsidR="00CA3752">
        <w:rPr>
          <w:rFonts w:eastAsiaTheme="minorEastAsia"/>
        </w:rPr>
        <w:t xml:space="preserve">at first </w:t>
      </w:r>
      <w:r w:rsidR="00587288">
        <w:rPr>
          <w:rFonts w:eastAsiaTheme="minorEastAsia"/>
        </w:rPr>
        <w:t xml:space="preserve">seem problematic.  </w:t>
      </w:r>
    </w:p>
    <w:p w14:paraId="09A32CB0" w14:textId="53F6158E" w:rsidR="00587288" w:rsidRDefault="00587288" w:rsidP="00E10CE7">
      <w:pPr>
        <w:jc w:val="center"/>
        <w:rPr>
          <w:rFonts w:eastAsiaTheme="minorEastAsia"/>
        </w:rPr>
      </w:pPr>
      <w:r w:rsidRPr="002C046C">
        <w:rPr>
          <w:position w:val="-48"/>
        </w:rPr>
        <w:object w:dxaOrig="2180" w:dyaOrig="1060" w14:anchorId="1581D09A">
          <v:shape id="_x0000_i1027" type="#_x0000_t75" style="width:109.55pt;height:53.2pt" o:ole="">
            <v:imagedata r:id="rId10" o:title=""/>
          </v:shape>
          <o:OLEObject Type="Embed" ProgID="Equation.3" ShapeID="_x0000_i1027" DrawAspect="Content" ObjectID="_1599658214" r:id="rId11"/>
        </w:object>
      </w:r>
    </w:p>
    <w:p w14:paraId="08574504" w14:textId="78F8756E" w:rsidR="00587288" w:rsidRDefault="00587288" w:rsidP="000672F6">
      <w:pPr>
        <w:jc w:val="both"/>
        <w:rPr>
          <w:rFonts w:eastAsiaTheme="minorEastAsia"/>
        </w:rPr>
      </w:pPr>
      <w:r>
        <w:rPr>
          <w:rFonts w:eastAsiaTheme="minorEastAsia"/>
        </w:rPr>
        <w:t xml:space="preserve">There are </w:t>
      </w:r>
      <m:oMath>
        <m:r>
          <w:rPr>
            <w:rFonts w:ascii="Cambria Math" w:eastAsiaTheme="minorEastAsia" w:hAnsi="Cambria Math"/>
          </w:rPr>
          <m:t>ρ</m:t>
        </m:r>
      </m:oMath>
      <w:r>
        <w:rPr>
          <w:rFonts w:eastAsiaTheme="minorEastAsia"/>
        </w:rPr>
        <w:t xml:space="preserve"> distinct ports to carry PUSCH, each of which should correspond to an SRS port, so one might infer that the SRS ports should also have </w:t>
      </w:r>
      <m:oMath>
        <m:r>
          <w:rPr>
            <w:rFonts w:ascii="Cambria Math" w:eastAsiaTheme="minorEastAsia" w:hAnsi="Cambria Math"/>
          </w:rPr>
          <m:t>ρ</m:t>
        </m:r>
      </m:oMath>
      <w:r>
        <w:rPr>
          <w:rFonts w:eastAsiaTheme="minorEastAsia"/>
        </w:rPr>
        <w:t xml:space="preserve"> distinct values.  However, since the SRI has </w:t>
      </w:r>
      <m:oMath>
        <m:r>
          <w:rPr>
            <w:rFonts w:ascii="Cambria Math" w:eastAsiaTheme="minorEastAsia" w:hAnsi="Cambria Math"/>
          </w:rPr>
          <m:t>ρ</m:t>
        </m:r>
      </m:oMath>
      <w:r>
        <w:rPr>
          <w:rFonts w:eastAsiaTheme="minorEastAsia"/>
        </w:rPr>
        <w:t xml:space="preserve"> distinct values and maps to </w:t>
      </w:r>
      <w:r w:rsidR="00922226">
        <w:rPr>
          <w:rFonts w:eastAsiaTheme="minorEastAsia"/>
        </w:rPr>
        <w:t xml:space="preserve">a unique DMRS port, which in turn corresponds to a PUSCH </w:t>
      </w:r>
      <w:r w:rsidR="00F042B1">
        <w:rPr>
          <w:rFonts w:eastAsiaTheme="minorEastAsia"/>
        </w:rPr>
        <w:t>layer</w:t>
      </w:r>
      <w:r w:rsidR="00922226">
        <w:rPr>
          <w:rFonts w:eastAsiaTheme="minorEastAsia"/>
        </w:rPr>
        <w:t>, there is no need to distinctly number SRS ports in non-</w:t>
      </w:r>
      <w:proofErr w:type="gramStart"/>
      <w:r w:rsidR="00922226">
        <w:rPr>
          <w:rFonts w:eastAsiaTheme="minorEastAsia"/>
        </w:rPr>
        <w:t>codebook based</w:t>
      </w:r>
      <w:proofErr w:type="gramEnd"/>
      <w:r w:rsidR="00922226">
        <w:rPr>
          <w:rFonts w:eastAsiaTheme="minorEastAsia"/>
        </w:rPr>
        <w:t xml:space="preserve"> precoding.  It might be </w:t>
      </w:r>
      <w:proofErr w:type="gramStart"/>
      <w:r w:rsidR="00922226">
        <w:rPr>
          <w:rFonts w:eastAsiaTheme="minorEastAsia"/>
        </w:rPr>
        <w:t>more clear</w:t>
      </w:r>
      <w:proofErr w:type="gramEnd"/>
      <w:r w:rsidR="00922226">
        <w:rPr>
          <w:rFonts w:eastAsiaTheme="minorEastAsia"/>
        </w:rPr>
        <w:t xml:space="preserve">, however, to tie the SRI to both the DMRS ports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ν-1</m:t>
            </m:r>
          </m:sub>
        </m:sSub>
      </m:oMath>
      <w:r w:rsidR="00922226">
        <w:rPr>
          <w:rFonts w:eastAsiaTheme="minorEastAsia"/>
        </w:rPr>
        <w:t xml:space="preserve"> and PUSCH </w:t>
      </w:r>
      <w:r w:rsidR="00F042B1">
        <w:rPr>
          <w:rFonts w:eastAsiaTheme="minorEastAsia"/>
        </w:rPr>
        <w:t xml:space="preserve">layers </w:t>
      </w:r>
      <m:oMath>
        <m:r>
          <w:rPr>
            <w:rFonts w:ascii="Cambria Math" w:hAnsi="Cambria Math"/>
          </w:rPr>
          <m:t>0..ν-1</m:t>
        </m:r>
      </m:oMath>
      <w:r w:rsidR="00922226">
        <w:rPr>
          <w:rFonts w:eastAsiaTheme="minorEastAsia"/>
        </w:rPr>
        <w:t>.</w:t>
      </w:r>
      <w:r w:rsidR="00A56BD4">
        <w:rPr>
          <w:rFonts w:eastAsiaTheme="minorEastAsia"/>
        </w:rPr>
        <w:t xml:space="preserve">  This also makes it a little more obvious that the PUSCH and SRS ports have the same spatial filtering or ‘precoding’ in non-</w:t>
      </w:r>
      <w:proofErr w:type="gramStart"/>
      <w:r w:rsidR="00A56BD4">
        <w:rPr>
          <w:rFonts w:eastAsiaTheme="minorEastAsia"/>
        </w:rPr>
        <w:t>codebook based</w:t>
      </w:r>
      <w:proofErr w:type="gramEnd"/>
      <w:r w:rsidR="00A56BD4">
        <w:rPr>
          <w:rFonts w:eastAsiaTheme="minorEastAsia"/>
        </w:rPr>
        <w:t xml:space="preserve"> precoding. One can infer this same spatial filtering from the mapping of SRI to DMRS along with the use of a fixed identity precoder </w:t>
      </w:r>
      <m:oMath>
        <m:r>
          <w:rPr>
            <w:rFonts w:ascii="Cambria Math" w:eastAsiaTheme="minorEastAsia" w:hAnsi="Cambria Math"/>
          </w:rPr>
          <m:t>W</m:t>
        </m:r>
      </m:oMath>
      <w:r w:rsidR="00A56BD4">
        <w:rPr>
          <w:rFonts w:eastAsiaTheme="minorEastAsia"/>
        </w:rPr>
        <w:t xml:space="preserve">, but this at least </w:t>
      </w:r>
      <w:r w:rsidR="008C1BCC">
        <w:rPr>
          <w:rFonts w:eastAsiaTheme="minorEastAsia"/>
        </w:rPr>
        <w:t xml:space="preserve">ties </w:t>
      </w:r>
      <w:r w:rsidR="00A56BD4">
        <w:rPr>
          <w:rFonts w:eastAsiaTheme="minorEastAsia"/>
        </w:rPr>
        <w:t>PUSCH a little more directly.</w:t>
      </w:r>
    </w:p>
    <w:p w14:paraId="2130D4B6" w14:textId="59399135" w:rsidR="00922226" w:rsidRDefault="00922226" w:rsidP="00E10CE7">
      <w:pPr>
        <w:spacing w:after="0"/>
        <w:jc w:val="both"/>
        <w:rPr>
          <w:rFonts w:eastAsiaTheme="minorEastAsia"/>
        </w:rPr>
      </w:pPr>
      <w:r w:rsidRPr="00E10CE7">
        <w:rPr>
          <w:rFonts w:eastAsiaTheme="minorEastAsia"/>
          <w:b/>
        </w:rPr>
        <w:t>Observation</w:t>
      </w:r>
      <w:r>
        <w:rPr>
          <w:rFonts w:eastAsiaTheme="minorEastAsia"/>
        </w:rPr>
        <w:t>:</w:t>
      </w:r>
    </w:p>
    <w:p w14:paraId="6957FD40" w14:textId="314A6F1F" w:rsidR="00922226" w:rsidRDefault="00922226" w:rsidP="00922226">
      <w:pPr>
        <w:pStyle w:val="ListParagraph"/>
        <w:numPr>
          <w:ilvl w:val="0"/>
          <w:numId w:val="51"/>
        </w:numPr>
        <w:jc w:val="both"/>
        <w:rPr>
          <w:rFonts w:eastAsiaTheme="minorEastAsia"/>
        </w:rPr>
      </w:pPr>
      <w:proofErr w:type="spellStart"/>
      <w:r>
        <w:rPr>
          <w:rFonts w:eastAsiaTheme="minorEastAsia"/>
          <w:lang w:val="en-US"/>
        </w:rPr>
        <w:t>T</w:t>
      </w:r>
      <w:r w:rsidRPr="00E10CE7">
        <w:rPr>
          <w:rFonts w:eastAsiaTheme="minorEastAsia"/>
        </w:rPr>
        <w:t>here</w:t>
      </w:r>
      <w:proofErr w:type="spellEnd"/>
      <w:r w:rsidRPr="00E10CE7">
        <w:rPr>
          <w:rFonts w:eastAsiaTheme="minorEastAsia"/>
        </w:rPr>
        <w:t xml:space="preserve"> is no need to distinctly number SRS ports in non-</w:t>
      </w:r>
      <w:proofErr w:type="gramStart"/>
      <w:r w:rsidRPr="00E10CE7">
        <w:rPr>
          <w:rFonts w:eastAsiaTheme="minorEastAsia"/>
        </w:rPr>
        <w:t>codebook based</w:t>
      </w:r>
      <w:proofErr w:type="gramEnd"/>
      <w:r w:rsidRPr="00E10CE7">
        <w:rPr>
          <w:rFonts w:eastAsiaTheme="minorEastAsia"/>
        </w:rPr>
        <w:t xml:space="preserve"> precoding.  </w:t>
      </w:r>
    </w:p>
    <w:p w14:paraId="200E55F7" w14:textId="77777777" w:rsidR="00BB6FB1" w:rsidRDefault="00BB6FB1" w:rsidP="00922226">
      <w:pPr>
        <w:spacing w:after="0"/>
        <w:jc w:val="both"/>
        <w:rPr>
          <w:rFonts w:eastAsiaTheme="minorEastAsia"/>
          <w:b/>
        </w:rPr>
      </w:pPr>
    </w:p>
    <w:p w14:paraId="0F95BA6D" w14:textId="2F5EC5BC" w:rsidR="00922226" w:rsidRPr="00E10CE7" w:rsidRDefault="00922226" w:rsidP="00E10CE7">
      <w:pPr>
        <w:spacing w:after="0"/>
        <w:jc w:val="both"/>
        <w:rPr>
          <w:rFonts w:eastAsiaTheme="minorEastAsia"/>
        </w:rPr>
      </w:pPr>
      <w:r w:rsidRPr="00E10CE7">
        <w:rPr>
          <w:rFonts w:eastAsiaTheme="minorEastAsia"/>
          <w:b/>
        </w:rPr>
        <w:t>Proposal</w:t>
      </w:r>
      <w:r w:rsidR="00285725">
        <w:rPr>
          <w:rFonts w:eastAsiaTheme="minorEastAsia"/>
          <w:b/>
        </w:rPr>
        <w:t xml:space="preserve"> 2</w:t>
      </w:r>
      <w:r>
        <w:rPr>
          <w:rFonts w:eastAsiaTheme="minorEastAsia"/>
        </w:rPr>
        <w:t>:</w:t>
      </w:r>
    </w:p>
    <w:p w14:paraId="1168FD74" w14:textId="5B849CCD" w:rsidR="00922226" w:rsidRPr="00E10CE7" w:rsidRDefault="00922226" w:rsidP="00E10CE7">
      <w:pPr>
        <w:pStyle w:val="ListParagraph"/>
        <w:numPr>
          <w:ilvl w:val="0"/>
          <w:numId w:val="51"/>
        </w:numPr>
        <w:jc w:val="both"/>
        <w:rPr>
          <w:rFonts w:eastAsiaTheme="minorEastAsia"/>
        </w:rPr>
      </w:pPr>
      <w:r>
        <w:rPr>
          <w:rFonts w:eastAsiaTheme="minorEastAsia"/>
          <w:lang w:val="en-US"/>
        </w:rPr>
        <w:t>T</w:t>
      </w:r>
      <w:proofErr w:type="spellStart"/>
      <w:r w:rsidRPr="00E10CE7">
        <w:rPr>
          <w:rFonts w:eastAsiaTheme="minorEastAsia"/>
        </w:rPr>
        <w:t>ie</w:t>
      </w:r>
      <w:proofErr w:type="spellEnd"/>
      <w:r w:rsidRPr="00E10CE7">
        <w:rPr>
          <w:rFonts w:eastAsiaTheme="minorEastAsia"/>
        </w:rPr>
        <w:t xml:space="preserve"> the SRI to </w:t>
      </w:r>
      <w:r w:rsidR="00EE1F8E">
        <w:rPr>
          <w:rFonts w:eastAsiaTheme="minorEastAsia"/>
          <w:lang w:val="en-US"/>
        </w:rPr>
        <w:t xml:space="preserve">the </w:t>
      </w:r>
      <w:r w:rsidR="00EE1F8E">
        <w:rPr>
          <w:rFonts w:eastAsiaTheme="minorEastAsia"/>
        </w:rPr>
        <w:t xml:space="preserve">PUSCH layers </w:t>
      </w:r>
      <m:oMath>
        <m:r>
          <w:rPr>
            <w:rFonts w:ascii="Cambria Math" w:hAnsi="Cambria Math"/>
          </w:rPr>
          <m:t>0..ν-1</m:t>
        </m:r>
      </m:oMath>
      <w:r w:rsidR="00EE1F8E">
        <w:rPr>
          <w:rFonts w:eastAsiaTheme="minorEastAsia"/>
          <w:lang w:val="en-US"/>
        </w:rPr>
        <w:t xml:space="preserve">, in addition to </w:t>
      </w:r>
      <w:r w:rsidRPr="00E10CE7">
        <w:rPr>
          <w:rFonts w:eastAsiaTheme="minorEastAsia"/>
        </w:rPr>
        <w:t xml:space="preserve">DMRS ports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ν-1</m:t>
            </m:r>
          </m:sub>
        </m:sSub>
      </m:oMath>
      <w:r w:rsidR="00F042B1">
        <w:rPr>
          <w:rFonts w:eastAsiaTheme="minorEastAsia"/>
        </w:rPr>
        <w:t>.</w:t>
      </w:r>
    </w:p>
    <w:p w14:paraId="0F7F9C3F" w14:textId="77777777" w:rsidR="00922226" w:rsidRPr="00832F73" w:rsidRDefault="00922226" w:rsidP="000672F6">
      <w:pPr>
        <w:jc w:val="both"/>
      </w:pPr>
    </w:p>
    <w:p w14:paraId="45F1C67F" w14:textId="6D822518" w:rsidR="00285725" w:rsidRDefault="00285725" w:rsidP="00BF5C6D">
      <w:pPr>
        <w:keepNext/>
      </w:pPr>
      <w:r>
        <w:lastRenderedPageBreak/>
        <w:t>For 38.214</w:t>
      </w:r>
    </w:p>
    <w:p w14:paraId="6758CC61" w14:textId="32D20483" w:rsidR="00285725" w:rsidRDefault="00285725" w:rsidP="00BF5C6D">
      <w:pPr>
        <w:keepNext/>
        <w:spacing w:after="0"/>
        <w:rPr>
          <w:highlight w:val="yellow"/>
        </w:rPr>
      </w:pPr>
      <w:r w:rsidRPr="00832F73">
        <w:rPr>
          <w:highlight w:val="yellow"/>
        </w:rPr>
        <w:t xml:space="preserve">&gt;&gt;&gt;&gt;&gt;&gt;&gt;&gt;&gt;&gt;&gt;&gt; Start text proposal </w:t>
      </w:r>
      <w:r>
        <w:rPr>
          <w:highlight w:val="yellow"/>
        </w:rPr>
        <w:t>2</w:t>
      </w:r>
      <w:r w:rsidRPr="00832F73">
        <w:rPr>
          <w:highlight w:val="yellow"/>
        </w:rPr>
        <w:t xml:space="preserve"> &gt;&gt;&gt;&gt;&gt;&gt;&gt;&gt;&gt;&gt;&gt;&gt;</w:t>
      </w:r>
    </w:p>
    <w:p w14:paraId="38781B76" w14:textId="77777777" w:rsidR="00F042B1" w:rsidRPr="00E10CE7" w:rsidRDefault="00F042B1" w:rsidP="00BF5C6D">
      <w:pPr>
        <w:keepNext/>
        <w:rPr>
          <w:sz w:val="28"/>
        </w:rPr>
      </w:pPr>
      <w:r w:rsidRPr="00E10CE7">
        <w:rPr>
          <w:sz w:val="28"/>
        </w:rPr>
        <w:t>6.1.1.2</w:t>
      </w:r>
      <w:r w:rsidRPr="00E10CE7">
        <w:rPr>
          <w:sz w:val="28"/>
        </w:rPr>
        <w:tab/>
        <w:t>Non-Codebook based UL transmission</w:t>
      </w:r>
    </w:p>
    <w:p w14:paraId="72C24BDD" w14:textId="77777777" w:rsidR="00F042B1" w:rsidRPr="001F6EA6" w:rsidRDefault="00F042B1" w:rsidP="00F042B1">
      <w:pPr>
        <w:keepNext/>
        <w:keepLines/>
        <w:spacing w:before="120"/>
        <w:outlineLvl w:val="3"/>
        <w:rPr>
          <w:rFonts w:ascii="Arial" w:hAnsi="Arial"/>
          <w:color w:val="000000"/>
          <w:sz w:val="24"/>
        </w:rPr>
      </w:pPr>
      <w:r>
        <w:rPr>
          <w:rFonts w:ascii="Arial" w:hAnsi="Arial"/>
          <w:color w:val="000000"/>
          <w:sz w:val="24"/>
        </w:rPr>
        <w:t>&lt;----------------------------------------Unchanged Text Omitted-------------------------------------</w:t>
      </w:r>
      <w:r w:rsidRPr="006738BC">
        <w:rPr>
          <w:rFonts w:ascii="Arial" w:hAnsi="Arial"/>
          <w:color w:val="000000"/>
          <w:sz w:val="24"/>
        </w:rPr>
        <w:sym w:font="Wingdings" w:char="F0E0"/>
      </w:r>
    </w:p>
    <w:p w14:paraId="3E03F26D" w14:textId="7D5A1CC8" w:rsidR="00F042B1" w:rsidRPr="00832F73" w:rsidRDefault="00F042B1" w:rsidP="00E10CE7">
      <w:r w:rsidRPr="00481608">
        <w:t>The UE shall perform one-to-one mapping from the indicated SRI(s) to the indicated DM</w:t>
      </w:r>
      <w:r>
        <w:t>-</w:t>
      </w:r>
      <w:r w:rsidRPr="00481608">
        <w:t xml:space="preserve">RS ports(s) </w:t>
      </w:r>
      <w:r w:rsidR="00BB3AF0">
        <w:t xml:space="preserve">and </w:t>
      </w:r>
      <w:r w:rsidR="00BB3AF0" w:rsidRPr="00E10CE7">
        <w:rPr>
          <w:color w:val="FF0000"/>
          <w:u w:val="single"/>
        </w:rPr>
        <w:t xml:space="preserve">their corresponding PUSCH layers </w:t>
      </w:r>
      <m:oMath>
        <m:r>
          <w:rPr>
            <w:rFonts w:ascii="Cambria Math" w:hAnsi="Cambria Math"/>
            <w:color w:val="FF0000"/>
            <w:u w:val="single"/>
          </w:rPr>
          <m:t>{0…ν-1}</m:t>
        </m:r>
      </m:oMath>
      <w:r w:rsidR="00BB3AF0" w:rsidRPr="00E10CE7">
        <w:rPr>
          <w:rFonts w:eastAsiaTheme="minorEastAsia"/>
          <w:color w:val="FF0000"/>
          <w:u w:val="single"/>
        </w:rPr>
        <w:t xml:space="preserve"> </w:t>
      </w:r>
      <w:r>
        <w:t>given by</w:t>
      </w:r>
      <w:r w:rsidRPr="00481608">
        <w:t xml:space="preserve"> DCI format 0_1 </w:t>
      </w:r>
      <w:r>
        <w:t xml:space="preserve">or by </w:t>
      </w:r>
      <w:proofErr w:type="spellStart"/>
      <w:r w:rsidRPr="00053468">
        <w:rPr>
          <w:i/>
        </w:rPr>
        <w:t>ConfiguredGrantConfig</w:t>
      </w:r>
      <w:proofErr w:type="spellEnd"/>
      <w:r>
        <w:t xml:space="preserve"> according to subclause 6.1.2.3 in </w:t>
      </w:r>
      <w:r w:rsidRPr="00481608">
        <w:t>increasing order</w:t>
      </w:r>
      <w:r>
        <w:t>.</w:t>
      </w:r>
    </w:p>
    <w:p w14:paraId="54A581B3" w14:textId="77777777" w:rsidR="00285725" w:rsidRPr="00832F73" w:rsidRDefault="00285725" w:rsidP="00285725">
      <w:r w:rsidRPr="00832F73">
        <w:rPr>
          <w:highlight w:val="yellow"/>
        </w:rPr>
        <w:t xml:space="preserve">&gt;&gt;&gt;&gt;&gt;&gt;&gt;&gt;&gt;&gt;&gt;&gt; End text proposal </w:t>
      </w:r>
      <w:r>
        <w:rPr>
          <w:highlight w:val="yellow"/>
        </w:rPr>
        <w:t>2</w:t>
      </w:r>
      <w:r w:rsidRPr="00832F73">
        <w:rPr>
          <w:highlight w:val="yellow"/>
        </w:rPr>
        <w:t xml:space="preserve"> &gt;&gt;&gt;&gt;&gt;&gt;&gt;&gt;&gt;&gt;&gt;&gt;&gt;</w:t>
      </w:r>
    </w:p>
    <w:p w14:paraId="262BDB39" w14:textId="79E3FFE3" w:rsidR="00812652" w:rsidRPr="0059068C" w:rsidRDefault="00812652" w:rsidP="00812652">
      <w:pPr>
        <w:pStyle w:val="Heading3"/>
      </w:pPr>
      <w:bookmarkStart w:id="4" w:name="_Toc500952646"/>
      <w:r>
        <w:rPr>
          <w:rFonts w:eastAsia="MS Mincho"/>
          <w:noProof/>
          <w:lang w:val="en-US" w:eastAsia="en-US"/>
        </w:rPr>
        <w:t xml:space="preserve">2.1.3 </w:t>
      </w:r>
      <w:r w:rsidRPr="009E6EFB">
        <w:rPr>
          <w:rFonts w:eastAsia="MS Mincho"/>
          <w:noProof/>
          <w:lang w:val="en-US" w:eastAsia="en-US"/>
        </w:rPr>
        <w:t>Scaling of PUSCH</w:t>
      </w:r>
      <w:r w:rsidR="0097322C">
        <w:rPr>
          <w:rFonts w:eastAsia="MS Mincho"/>
          <w:noProof/>
          <w:lang w:val="en-US" w:eastAsia="en-US"/>
        </w:rPr>
        <w:t xml:space="preserve"> and SRS</w:t>
      </w:r>
      <w:r w:rsidRPr="009E6EFB">
        <w:rPr>
          <w:rFonts w:eastAsia="MS Mincho"/>
          <w:noProof/>
          <w:lang w:val="en-US" w:eastAsia="en-US"/>
        </w:rPr>
        <w:t xml:space="preserve"> transmission power for UL-MIMO</w:t>
      </w:r>
    </w:p>
    <w:p w14:paraId="7B85EDA9" w14:textId="77777777" w:rsidR="00812652" w:rsidRPr="00832F73" w:rsidRDefault="00812652" w:rsidP="00812652">
      <w:r w:rsidRPr="00832F73">
        <w:t>For PUSCH power control the following is specified in TS 38.213 section 7.1</w:t>
      </w:r>
    </w:p>
    <w:p w14:paraId="5BFB6DAF" w14:textId="77777777" w:rsidR="00812652" w:rsidRDefault="00812652" w:rsidP="00812652">
      <w:r>
        <w:rPr>
          <w:noProof/>
        </w:rPr>
        <mc:AlternateContent>
          <mc:Choice Requires="wps">
            <w:drawing>
              <wp:inline distT="0" distB="0" distL="0" distR="0" wp14:anchorId="216791C7" wp14:editId="1D5047DD">
                <wp:extent cx="6009640" cy="971550"/>
                <wp:effectExtent l="13970" t="13335" r="5715" b="57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971550"/>
                        </a:xfrm>
                        <a:prstGeom prst="rect">
                          <a:avLst/>
                        </a:prstGeom>
                        <a:solidFill>
                          <a:srgbClr val="FFFFFF"/>
                        </a:solidFill>
                        <a:ln w="9525">
                          <a:solidFill>
                            <a:srgbClr val="000000"/>
                          </a:solidFill>
                          <a:miter lim="800000"/>
                          <a:headEnd/>
                          <a:tailEnd/>
                        </a:ln>
                      </wps:spPr>
                      <wps:txbx>
                        <w:txbxContent>
                          <w:p w14:paraId="49AB61E2" w14:textId="77777777" w:rsidR="008C1BCC" w:rsidRPr="00E37A4C" w:rsidRDefault="008C1BCC" w:rsidP="00F36985">
                            <w:pPr>
                              <w:rPr>
                                <w:lang w:val="en-AU"/>
                              </w:rPr>
                            </w:pPr>
                            <w:r w:rsidRPr="00E37A4C">
                              <w:rPr>
                                <w:lang w:val="en-AU"/>
                              </w:rPr>
                              <w:t xml:space="preserve">For PUSCH, a UE first scales a linear value </w:t>
                            </w:r>
                            <w:r>
                              <w:rPr>
                                <w:iCs/>
                                <w:position w:val="-12"/>
                              </w:rPr>
                              <w:object w:dxaOrig="1590" w:dyaOrig="375" w14:anchorId="3EAF4A40">
                                <v:shape id="_x0000_i1029" type="#_x0000_t75" style="width:79.5pt;height:18.8pt" o:ole="">
                                  <v:imagedata r:id="rId12" o:title=""/>
                                </v:shape>
                                <o:OLEObject Type="Embed" ProgID="Equation.3" ShapeID="_x0000_i1029" DrawAspect="Content" ObjectID="_1599658215" r:id="rId13"/>
                              </w:object>
                            </w:r>
                            <w:r w:rsidRPr="00E37A4C">
                              <w:rPr>
                                <w:iCs/>
                                <w:lang w:val="en-AU"/>
                              </w:rPr>
                              <w:t xml:space="preserve"> of the </w:t>
                            </w:r>
                            <w:r w:rsidRPr="00E37A4C">
                              <w:rPr>
                                <w:lang w:val="en-AU"/>
                              </w:rPr>
                              <w:t xml:space="preserve">transmit power </w:t>
                            </w:r>
                            <w:r>
                              <w:rPr>
                                <w:iCs/>
                                <w:position w:val="-12"/>
                              </w:rPr>
                              <w:object w:dxaOrig="1590" w:dyaOrig="330" w14:anchorId="65C0593B">
                                <v:shape id="_x0000_i1031" type="#_x0000_t75" style="width:79.5pt;height:16.3pt" o:ole="">
                                  <v:imagedata r:id="rId14" o:title=""/>
                                </v:shape>
                                <o:OLEObject Type="Embed" ProgID="Equation.3" ShapeID="_x0000_i1031" DrawAspect="Content" ObjectID="_1599658216" r:id="rId15"/>
                              </w:object>
                            </w:r>
                            <w:r w:rsidRPr="00E37A4C">
                              <w:rPr>
                                <w:iCs/>
                                <w:lang w:val="en-AU"/>
                              </w:rPr>
                              <w:t xml:space="preserve"> </w:t>
                            </w:r>
                            <w:r w:rsidRPr="00E37A4C">
                              <w:rPr>
                                <w:lang w:val="en-AU"/>
                              </w:rPr>
                              <w:t xml:space="preserve">on UL BWP </w:t>
                            </w:r>
                            <w:r>
                              <w:rPr>
                                <w:iCs/>
                                <w:position w:val="-6"/>
                              </w:rPr>
                              <w:object w:dxaOrig="180" w:dyaOrig="225" w14:anchorId="1F2C206D">
                                <v:shape id="_x0000_i1033" type="#_x0000_t75" style="width:8.75pt;height:11.25pt">
                                  <v:imagedata r:id="rId16" o:title=""/>
                                </v:shape>
                                <o:OLEObject Type="Embed" ProgID="Equation.3" ShapeID="_x0000_i1033" DrawAspect="Content" ObjectID="_1599658217" r:id="rId17"/>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7AE4AFF7">
                                <v:shape id="_x0000_i1035" type="#_x0000_t75" style="width:11.25pt;height:15.05pt">
                                  <v:imagedata r:id="rId18" o:title=""/>
                                </v:shape>
                                <o:OLEObject Type="Embed" ProgID="Equation.3" ShapeID="_x0000_i1035" DrawAspect="Content" ObjectID="_1599658218" r:id="rId19"/>
                              </w:object>
                            </w:r>
                            <w:r w:rsidRPr="00E37A4C">
                              <w:rPr>
                                <w:iCs/>
                                <w:lang w:val="en-AU"/>
                              </w:rPr>
                              <w:t xml:space="preserve"> of </w:t>
                            </w:r>
                            <w:r w:rsidRPr="00E37A4C">
                              <w:rPr>
                                <w:lang w:val="en-AU"/>
                              </w:rPr>
                              <w:t xml:space="preserve">serving cell </w:t>
                            </w:r>
                            <w:r>
                              <w:rPr>
                                <w:iCs/>
                                <w:position w:val="-6"/>
                              </w:rPr>
                              <w:object w:dxaOrig="165" w:dyaOrig="225" w14:anchorId="323F83AD">
                                <v:shape id="_x0000_i1037" type="#_x0000_t75" style="width:8.15pt;height:11.25pt">
                                  <v:imagedata r:id="rId20" o:title=""/>
                                </v:shape>
                                <o:OLEObject Type="Embed" ProgID="Equation.3" ShapeID="_x0000_i1037" DrawAspect="Content" ObjectID="_1599658219" r:id="rId21"/>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167F2144" w14:textId="5A3C737C" w:rsidR="008C1BCC" w:rsidRPr="00832F73" w:rsidRDefault="008C1BCC" w:rsidP="00812652"/>
                        </w:txbxContent>
                      </wps:txbx>
                      <wps:bodyPr rot="0" vert="horz" wrap="square" lIns="91440" tIns="45720" rIns="91440" bIns="45720" anchor="t" anchorCtr="0" upright="1">
                        <a:noAutofit/>
                      </wps:bodyPr>
                    </wps:wsp>
                  </a:graphicData>
                </a:graphic>
              </wp:inline>
            </w:drawing>
          </mc:Choice>
          <mc:Fallback>
            <w:pict>
              <v:shapetype w14:anchorId="216791C7" id="_x0000_t202" coordsize="21600,21600" o:spt="202" path="m,l,21600r21600,l21600,xe">
                <v:stroke joinstyle="miter"/>
                <v:path gradientshapeok="t" o:connecttype="rect"/>
              </v:shapetype>
              <v:shape id="Text Box 2" o:spid="_x0000_s1026" type="#_x0000_t202" style="width:473.2pt;height: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">
                <v:textbox>
                  <w:txbxContent>
                    <w:p w14:paraId="49AB61E2" w14:textId="77777777" w:rsidR="008C1BCC" w:rsidRPr="00E37A4C" w:rsidRDefault="008C1BCC" w:rsidP="00F36985">
                      <w:pPr>
                        <w:rPr>
                          <w:lang w:val="en-AU"/>
                        </w:rPr>
                      </w:pPr>
                      <w:r w:rsidRPr="00E37A4C">
                        <w:rPr>
                          <w:lang w:val="en-AU"/>
                        </w:rPr>
                        <w:t xml:space="preserve">For PUSCH, a UE first scales a linear value </w:t>
                      </w:r>
                      <w:r>
                        <w:rPr>
                          <w:iCs/>
                          <w:position w:val="-12"/>
                        </w:rPr>
                        <w:object w:dxaOrig="1590" w:dyaOrig="375" w14:anchorId="3EAF4A40">
                          <v:shape id="_x0000_i1029" type="#_x0000_t75" style="width:79.5pt;height:18.8pt" o:ole="">
                            <v:imagedata r:id="rId12" o:title=""/>
                          </v:shape>
                          <o:OLEObject Type="Embed" ProgID="Equation.3" ShapeID="_x0000_i1029" DrawAspect="Content" ObjectID="_1599658215" r:id="rId22"/>
                        </w:object>
                      </w:r>
                      <w:r w:rsidRPr="00E37A4C">
                        <w:rPr>
                          <w:iCs/>
                          <w:lang w:val="en-AU"/>
                        </w:rPr>
                        <w:t xml:space="preserve"> of the </w:t>
                      </w:r>
                      <w:r w:rsidRPr="00E37A4C">
                        <w:rPr>
                          <w:lang w:val="en-AU"/>
                        </w:rPr>
                        <w:t xml:space="preserve">transmit power </w:t>
                      </w:r>
                      <w:r>
                        <w:rPr>
                          <w:iCs/>
                          <w:position w:val="-12"/>
                        </w:rPr>
                        <w:object w:dxaOrig="1590" w:dyaOrig="330" w14:anchorId="65C0593B">
                          <v:shape id="_x0000_i1031" type="#_x0000_t75" style="width:79.5pt;height:16.3pt" o:ole="">
                            <v:imagedata r:id="rId14" o:title=""/>
                          </v:shape>
                          <o:OLEObject Type="Embed" ProgID="Equation.3" ShapeID="_x0000_i1031" DrawAspect="Content" ObjectID="_1599658216" r:id="rId23"/>
                        </w:object>
                      </w:r>
                      <w:r w:rsidRPr="00E37A4C">
                        <w:rPr>
                          <w:iCs/>
                          <w:lang w:val="en-AU"/>
                        </w:rPr>
                        <w:t xml:space="preserve"> </w:t>
                      </w:r>
                      <w:r w:rsidRPr="00E37A4C">
                        <w:rPr>
                          <w:lang w:val="en-AU"/>
                        </w:rPr>
                        <w:t xml:space="preserve">on UL BWP </w:t>
                      </w:r>
                      <w:r>
                        <w:rPr>
                          <w:iCs/>
                          <w:position w:val="-6"/>
                        </w:rPr>
                        <w:object w:dxaOrig="180" w:dyaOrig="225" w14:anchorId="1F2C206D">
                          <v:shape id="_x0000_i1033" type="#_x0000_t75" style="width:8.75pt;height:11.25pt">
                            <v:imagedata r:id="rId16" o:title=""/>
                          </v:shape>
                          <o:OLEObject Type="Embed" ProgID="Equation.3" ShapeID="_x0000_i1033" DrawAspect="Content" ObjectID="_1599658217" r:id="rId24"/>
                        </w:object>
                      </w:r>
                      <w:r w:rsidRPr="00E37A4C">
                        <w:rPr>
                          <w:iCs/>
                          <w:lang w:val="en-AU"/>
                        </w:rPr>
                        <w:t xml:space="preserve">, as described in Subclause </w:t>
                      </w:r>
                      <w:r>
                        <w:rPr>
                          <w:iCs/>
                        </w:rPr>
                        <w:fldChar w:fldCharType="begin"/>
                      </w:r>
                      <w:r w:rsidRPr="00E37A4C">
                        <w:rPr>
                          <w:iCs/>
                          <w:lang w:val="en-AU"/>
                        </w:rPr>
                        <w:instrText xml:space="preserve"> REF _Ref496621482 \h </w:instrText>
                      </w:r>
                      <w:r>
                        <w:rPr>
                          <w:iCs/>
                        </w:rPr>
                      </w:r>
                      <w:r>
                        <w:rPr>
                          <w:iCs/>
                        </w:rPr>
                        <w:fldChar w:fldCharType="separate"/>
                      </w:r>
                      <w:r w:rsidRPr="00E37A4C">
                        <w:rPr>
                          <w:lang w:val="en-AU"/>
                        </w:rPr>
                        <w:t>12</w:t>
                      </w:r>
                      <w:r>
                        <w:rPr>
                          <w:iCs/>
                        </w:rPr>
                        <w:fldChar w:fldCharType="end"/>
                      </w:r>
                      <w:r w:rsidRPr="00E37A4C">
                        <w:rPr>
                          <w:iCs/>
                          <w:lang w:val="en-AU"/>
                        </w:rPr>
                        <w:t xml:space="preserve">, of </w:t>
                      </w:r>
                      <w:r w:rsidRPr="00E37A4C">
                        <w:rPr>
                          <w:lang w:val="en-AU"/>
                        </w:rPr>
                        <w:t xml:space="preserve">carrier </w:t>
                      </w:r>
                      <w:r>
                        <w:rPr>
                          <w:iCs/>
                          <w:position w:val="-10"/>
                        </w:rPr>
                        <w:object w:dxaOrig="225" w:dyaOrig="300" w14:anchorId="7AE4AFF7">
                          <v:shape id="_x0000_i1035" type="#_x0000_t75" style="width:11.25pt;height:15.05pt">
                            <v:imagedata r:id="rId18" o:title=""/>
                          </v:shape>
                          <o:OLEObject Type="Embed" ProgID="Equation.3" ShapeID="_x0000_i1035" DrawAspect="Content" ObjectID="_1599658218" r:id="rId25"/>
                        </w:object>
                      </w:r>
                      <w:r w:rsidRPr="00E37A4C">
                        <w:rPr>
                          <w:iCs/>
                          <w:lang w:val="en-AU"/>
                        </w:rPr>
                        <w:t xml:space="preserve"> of </w:t>
                      </w:r>
                      <w:r w:rsidRPr="00E37A4C">
                        <w:rPr>
                          <w:lang w:val="en-AU"/>
                        </w:rPr>
                        <w:t xml:space="preserve">serving cell </w:t>
                      </w:r>
                      <w:r>
                        <w:rPr>
                          <w:iCs/>
                          <w:position w:val="-6"/>
                        </w:rPr>
                        <w:object w:dxaOrig="165" w:dyaOrig="225" w14:anchorId="323F83AD">
                          <v:shape id="_x0000_i1037" type="#_x0000_t75" style="width:8.15pt;height:11.25pt">
                            <v:imagedata r:id="rId20" o:title=""/>
                          </v:shape>
                          <o:OLEObject Type="Embed" ProgID="Equation.3" ShapeID="_x0000_i1037" DrawAspect="Content" ObjectID="_1599658219" r:id="rId26"/>
                        </w:object>
                      </w:r>
                      <w:r w:rsidRPr="00E37A4C">
                        <w:rPr>
                          <w:iCs/>
                          <w:lang w:val="en-AU"/>
                        </w:rPr>
                        <w:t xml:space="preserve">, with parameters as defined in Subclause </w:t>
                      </w:r>
                      <w:r>
                        <w:rPr>
                          <w:iCs/>
                        </w:rPr>
                        <w:fldChar w:fldCharType="begin"/>
                      </w:r>
                      <w:r w:rsidRPr="00E37A4C">
                        <w:rPr>
                          <w:iCs/>
                          <w:lang w:val="en-AU"/>
                        </w:rPr>
                        <w:instrText xml:space="preserve"> REF _Ref497117847 \h  \* MERGEFORMAT </w:instrText>
                      </w:r>
                      <w:r>
                        <w:rPr>
                          <w:iCs/>
                        </w:rPr>
                      </w:r>
                      <w:r>
                        <w:rPr>
                          <w:iCs/>
                        </w:rPr>
                        <w:fldChar w:fldCharType="separate"/>
                      </w:r>
                      <w:r w:rsidRPr="00E37A4C">
                        <w:rPr>
                          <w:lang w:val="en-AU"/>
                        </w:rPr>
                        <w:t>7.1.1</w:t>
                      </w:r>
                      <w:r>
                        <w:rPr>
                          <w:iCs/>
                        </w:rPr>
                        <w:fldChar w:fldCharType="end"/>
                      </w:r>
                      <w:r w:rsidRPr="00E37A4C">
                        <w:rPr>
                          <w:iCs/>
                          <w:lang w:val="en-AU"/>
                        </w:rPr>
                        <w:t xml:space="preserve">, </w:t>
                      </w:r>
                      <w:r w:rsidRPr="00E37A4C">
                        <w:rPr>
                          <w:lang w:val="en-AU"/>
                        </w:rPr>
                        <w:t xml:space="preserve">by the ratio of the number of antenna ports with a non-zero PUSCH transmission to </w:t>
                      </w:r>
                      <w:r w:rsidRPr="00C71A38">
                        <w:rPr>
                          <w:highlight w:val="yellow"/>
                          <w:lang w:val="en-AU"/>
                        </w:rPr>
                        <w:t>the number of configured antenna ports for the transmission scheme</w:t>
                      </w:r>
                      <w:r w:rsidRPr="00E37A4C">
                        <w:rPr>
                          <w:lang w:val="en-AU"/>
                        </w:rPr>
                        <w:t xml:space="preserve">. The resulting scaled power is then split equally across the antenna ports on which the non-zero PUSCH is transmitted. </w:t>
                      </w:r>
                    </w:p>
                    <w:p w14:paraId="167F2144" w14:textId="5A3C737C" w:rsidR="008C1BCC" w:rsidRPr="00832F73" w:rsidRDefault="008C1BCC" w:rsidP="00812652"/>
                  </w:txbxContent>
                </v:textbox>
                <w10:anchorlock/>
              </v:shape>
            </w:pict>
          </mc:Fallback>
        </mc:AlternateContent>
      </w:r>
    </w:p>
    <w:p w14:paraId="051F8E0D" w14:textId="36454573" w:rsidR="00F36985" w:rsidRPr="00832F73" w:rsidRDefault="00F36985" w:rsidP="00F36985">
      <w:r w:rsidRPr="00832F73">
        <w:t xml:space="preserve">As is discussed in detail in </w:t>
      </w:r>
      <w:r>
        <w:fldChar w:fldCharType="begin"/>
      </w:r>
      <w:r w:rsidRPr="00832F73">
        <w:instrText xml:space="preserve"> REF _Ref521686428 \r \h </w:instrText>
      </w:r>
      <w:r>
        <w:fldChar w:fldCharType="separate"/>
      </w:r>
      <w:r w:rsidR="006B39F4">
        <w:t>[1]</w:t>
      </w:r>
      <w:r>
        <w:fldChar w:fldCharType="end"/>
      </w:r>
      <w:r w:rsidRPr="00832F73">
        <w:t xml:space="preserve">, </w:t>
      </w:r>
      <w:r>
        <w:rPr>
          <w:lang w:val="en-AU"/>
        </w:rPr>
        <w:t>‘t</w:t>
      </w:r>
      <w:r w:rsidRPr="00F36985">
        <w:rPr>
          <w:lang w:val="en-AU"/>
        </w:rPr>
        <w:t>he number of configured antenna ports for the transmission scheme’ can be interpreted as</w:t>
      </w:r>
      <w:r>
        <w:rPr>
          <w:lang w:val="en-AU"/>
        </w:rPr>
        <w:t xml:space="preserve"> one or more of</w:t>
      </w:r>
      <w:r w:rsidRPr="00F36985">
        <w:rPr>
          <w:lang w:val="en-AU"/>
        </w:rPr>
        <w:t>:</w:t>
      </w:r>
    </w:p>
    <w:p w14:paraId="269947BD" w14:textId="77777777" w:rsidR="00F36985" w:rsidRPr="00F36985" w:rsidRDefault="00F36985" w:rsidP="00F36985">
      <w:pPr>
        <w:numPr>
          <w:ilvl w:val="0"/>
          <w:numId w:val="43"/>
        </w:numPr>
        <w:rPr>
          <w:i/>
          <w:lang w:val="en-AU"/>
        </w:rPr>
      </w:pPr>
      <w:r w:rsidRPr="00F36985">
        <w:rPr>
          <w:i/>
          <w:lang w:val="en-AU"/>
        </w:rPr>
        <w:t>The number of ports in one SRS resource configured to the UE for codebook or non-</w:t>
      </w:r>
      <w:proofErr w:type="gramStart"/>
      <w:r w:rsidRPr="00F36985">
        <w:rPr>
          <w:i/>
          <w:lang w:val="en-AU"/>
        </w:rPr>
        <w:t>codebook based</w:t>
      </w:r>
      <w:proofErr w:type="gramEnd"/>
      <w:r w:rsidRPr="00F36985">
        <w:rPr>
          <w:i/>
          <w:lang w:val="en-AU"/>
        </w:rPr>
        <w:t xml:space="preserve"> operation.</w:t>
      </w:r>
    </w:p>
    <w:p w14:paraId="04FF2B15" w14:textId="48F1C113" w:rsidR="00F36985" w:rsidRPr="00F36985" w:rsidRDefault="00F36985" w:rsidP="00F36985">
      <w:pPr>
        <w:numPr>
          <w:ilvl w:val="0"/>
          <w:numId w:val="43"/>
        </w:numPr>
        <w:rPr>
          <w:i/>
          <w:lang w:val="en-AU"/>
        </w:rPr>
      </w:pPr>
      <w:r w:rsidRPr="00F36985">
        <w:rPr>
          <w:i/>
          <w:lang w:val="en-AU"/>
        </w:rPr>
        <w:t>The number of ports in all SRS resources configured to the UE for codebook or non-</w:t>
      </w:r>
      <w:proofErr w:type="gramStart"/>
      <w:r w:rsidRPr="00F36985">
        <w:rPr>
          <w:i/>
          <w:lang w:val="en-AU"/>
        </w:rPr>
        <w:t>codebook based</w:t>
      </w:r>
      <w:proofErr w:type="gramEnd"/>
      <w:r w:rsidRPr="00F36985">
        <w:rPr>
          <w:i/>
          <w:lang w:val="en-AU"/>
        </w:rPr>
        <w:t xml:space="preserve"> operation</w:t>
      </w:r>
      <w:r>
        <w:rPr>
          <w:i/>
          <w:lang w:val="en-AU"/>
        </w:rPr>
        <w:t>, or</w:t>
      </w:r>
    </w:p>
    <w:p w14:paraId="2F488829" w14:textId="11C831F9" w:rsidR="00F36985" w:rsidRPr="00F36985" w:rsidRDefault="00F36985" w:rsidP="00F36985">
      <w:pPr>
        <w:numPr>
          <w:ilvl w:val="0"/>
          <w:numId w:val="43"/>
        </w:numPr>
        <w:rPr>
          <w:i/>
          <w:lang w:val="en-AU"/>
        </w:rPr>
      </w:pPr>
      <w:r w:rsidRPr="00F36985">
        <w:rPr>
          <w:i/>
          <w:lang w:val="en-AU"/>
        </w:rPr>
        <w:t xml:space="preserve">The maximum rank that the UE is configured for through </w:t>
      </w:r>
      <w:proofErr w:type="spellStart"/>
      <w:r w:rsidRPr="00F36985">
        <w:rPr>
          <w:i/>
          <w:lang w:val="en-AU"/>
        </w:rPr>
        <w:t>maxRank</w:t>
      </w:r>
      <w:proofErr w:type="spellEnd"/>
      <w:r w:rsidRPr="00F36985">
        <w:rPr>
          <w:i/>
          <w:lang w:val="en-AU"/>
        </w:rPr>
        <w:t xml:space="preserve"> and using non-coherent TPMIs. </w:t>
      </w:r>
    </w:p>
    <w:p w14:paraId="105F74CB" w14:textId="267BD8F8" w:rsidR="00F36985" w:rsidRPr="00832F73" w:rsidRDefault="00037C92" w:rsidP="00812652">
      <w:r w:rsidRPr="00832F73">
        <w:t xml:space="preserve">These different interpretations can all lead to different values of power scaling, </w:t>
      </w:r>
      <w:proofErr w:type="gramStart"/>
      <w:r w:rsidR="00B665F7" w:rsidRPr="00832F73">
        <w:t>a number of</w:t>
      </w:r>
      <w:proofErr w:type="gramEnd"/>
      <w:r w:rsidR="00B665F7" w:rsidRPr="00832F73">
        <w:t xml:space="preserve"> which result in the UE transmitting substantially less than its full rated power.  </w:t>
      </w:r>
      <w:r w:rsidR="007E2BB8" w:rsidRPr="00832F73">
        <w:t xml:space="preserve">As discussed in </w:t>
      </w:r>
      <w:r w:rsidR="00CF2323">
        <w:fldChar w:fldCharType="begin"/>
      </w:r>
      <w:r w:rsidR="00CF2323" w:rsidRPr="00832F73">
        <w:instrText xml:space="preserve"> REF _Ref521689248 \r \h </w:instrText>
      </w:r>
      <w:r w:rsidR="00CF2323">
        <w:fldChar w:fldCharType="separate"/>
      </w:r>
      <w:r w:rsidR="006B39F4">
        <w:t>[2]</w:t>
      </w:r>
      <w:r w:rsidR="00CF2323">
        <w:fldChar w:fldCharType="end"/>
      </w:r>
      <w:r w:rsidR="007E2BB8" w:rsidRPr="00832F73">
        <w:t>, the SRS power scaling has similar problems and is also ambiguous.</w:t>
      </w:r>
    </w:p>
    <w:p w14:paraId="680C08A3" w14:textId="67693E0C" w:rsidR="007E2BB8" w:rsidRPr="00832F73" w:rsidRDefault="007E2BB8" w:rsidP="00331E66">
      <w:pPr>
        <w:jc w:val="both"/>
      </w:pPr>
      <w:r w:rsidRPr="00832F73">
        <w:t>While corrections have been proposed for th</w:t>
      </w:r>
      <w:r w:rsidR="0046156A" w:rsidRPr="00832F73">
        <w:t>ese</w:t>
      </w:r>
      <w:r w:rsidRPr="00832F73">
        <w:t xml:space="preserve"> </w:t>
      </w:r>
      <w:r w:rsidR="0046156A" w:rsidRPr="00832F73">
        <w:t xml:space="preserve">power scaling </w:t>
      </w:r>
      <w:r w:rsidRPr="00832F73">
        <w:t>issue</w:t>
      </w:r>
      <w:r w:rsidR="0046156A" w:rsidRPr="00832F73">
        <w:t>s</w:t>
      </w:r>
      <w:r w:rsidRPr="00832F73">
        <w:t xml:space="preserve">, such as </w:t>
      </w:r>
      <w:r>
        <w:fldChar w:fldCharType="begin"/>
      </w:r>
      <w:r w:rsidRPr="00832F73">
        <w:instrText xml:space="preserve"> REF _Ref521685800 \r \h </w:instrText>
      </w:r>
      <w:r>
        <w:fldChar w:fldCharType="separate"/>
      </w:r>
      <w:r w:rsidR="006B39F4">
        <w:t>[3]</w:t>
      </w:r>
      <w:r>
        <w:fldChar w:fldCharType="end"/>
      </w:r>
      <w:r w:rsidRPr="00832F73">
        <w:t xml:space="preserve">, unfortunately </w:t>
      </w:r>
      <w:r w:rsidR="00B665F7" w:rsidRPr="00832F73">
        <w:t>multi-</w:t>
      </w:r>
      <w:proofErr w:type="spellStart"/>
      <w:r w:rsidR="00B665F7" w:rsidRPr="00832F73">
        <w:t>tx</w:t>
      </w:r>
      <w:proofErr w:type="spellEnd"/>
      <w:r w:rsidR="00B665F7" w:rsidRPr="00832F73">
        <w:t xml:space="preserve"> </w:t>
      </w:r>
      <w:r w:rsidRPr="00832F73">
        <w:t xml:space="preserve">UE implementations whose power amplifiers do not all provide the full rated power may </w:t>
      </w:r>
      <w:r w:rsidR="00B665F7" w:rsidRPr="00832F73">
        <w:t xml:space="preserve">not always be able to </w:t>
      </w:r>
      <w:r w:rsidRPr="00832F73">
        <w:t xml:space="preserve">reach the full rated power when using partial or non-coherent transmission or non-codebook based transmission.  From RAN1 discussions, </w:t>
      </w:r>
      <w:proofErr w:type="gramStart"/>
      <w:r w:rsidRPr="00832F73">
        <w:t>it is clear that these</w:t>
      </w:r>
      <w:proofErr w:type="gramEnd"/>
      <w:r w:rsidRPr="00832F73">
        <w:t xml:space="preserve"> implementations are important to UE vendors in Rel-15</w:t>
      </w:r>
      <w:r w:rsidR="00B665F7" w:rsidRPr="00832F73">
        <w:t>.  This interest</w:t>
      </w:r>
      <w:r w:rsidRPr="00832F73">
        <w:t xml:space="preserve"> has led work in Rel-16 </w:t>
      </w:r>
      <w:r w:rsidR="007A5A7F">
        <w:fldChar w:fldCharType="begin"/>
      </w:r>
      <w:r w:rsidR="007A5A7F" w:rsidRPr="00832F73">
        <w:instrText xml:space="preserve"> REF _Ref521687755 \r \h </w:instrText>
      </w:r>
      <w:r w:rsidR="007A5A7F">
        <w:fldChar w:fldCharType="separate"/>
      </w:r>
      <w:r w:rsidR="006B39F4">
        <w:t>[6]</w:t>
      </w:r>
      <w:r w:rsidR="007A5A7F">
        <w:fldChar w:fldCharType="end"/>
      </w:r>
      <w:r w:rsidRPr="00832F73">
        <w:t>, which will specify enhancement to allow full power transmission in case of uplink transmission with multiple power amplifiers.  What is needed therefore in Rel-15 is to clearly specify PUSCH and SRS power scaling for the UE implementations in scope in Rel-15</w:t>
      </w:r>
      <w:r w:rsidR="0046156A" w:rsidRPr="00832F73">
        <w:t>, enabling the best use of the PAs of such UEs.</w:t>
      </w:r>
    </w:p>
    <w:p w14:paraId="1FB868C8" w14:textId="77777777" w:rsidR="007C4DBD" w:rsidRPr="000672F6" w:rsidRDefault="007C4DBD" w:rsidP="007C4DBD">
      <w:pPr>
        <w:keepNext/>
        <w:spacing w:after="0"/>
        <w:contextualSpacing/>
        <w:rPr>
          <w:b/>
          <w:u w:val="single"/>
        </w:rPr>
      </w:pPr>
      <w:r w:rsidRPr="000672F6">
        <w:rPr>
          <w:b/>
          <w:u w:val="single"/>
        </w:rPr>
        <w:t xml:space="preserve">Observations: </w:t>
      </w:r>
    </w:p>
    <w:p w14:paraId="00988991" w14:textId="575C3E2F" w:rsidR="007C4DBD" w:rsidRPr="000672F6" w:rsidRDefault="00CF2323" w:rsidP="00CF2323">
      <w:pPr>
        <w:pStyle w:val="ListParagraph"/>
        <w:keepNext/>
        <w:numPr>
          <w:ilvl w:val="0"/>
          <w:numId w:val="45"/>
        </w:numPr>
        <w:spacing w:after="180"/>
        <w:contextualSpacing/>
        <w:rPr>
          <w:rFonts w:ascii="Times New Roman" w:hAnsi="Times New Roman"/>
          <w:sz w:val="20"/>
          <w:szCs w:val="20"/>
          <w:lang w:val="en-AU"/>
        </w:rPr>
      </w:pPr>
      <w:r w:rsidRPr="00CF2323">
        <w:rPr>
          <w:rFonts w:ascii="Times New Roman" w:hAnsi="Times New Roman"/>
          <w:sz w:val="20"/>
          <w:szCs w:val="20"/>
          <w:lang w:val="en-AU"/>
        </w:rPr>
        <w:t>The current Rel-15 PUSCH and SRS power scaling specifications are ambiguous</w:t>
      </w:r>
    </w:p>
    <w:p w14:paraId="76E22908" w14:textId="77777777" w:rsidR="007C4DBD" w:rsidRPr="000672F6" w:rsidRDefault="007C4DBD" w:rsidP="007C4DBD">
      <w:pPr>
        <w:pStyle w:val="ListParagraph"/>
        <w:numPr>
          <w:ilvl w:val="0"/>
          <w:numId w:val="45"/>
        </w:numPr>
        <w:spacing w:after="180"/>
        <w:contextualSpacing/>
        <w:rPr>
          <w:rFonts w:ascii="Times New Roman" w:hAnsi="Times New Roman"/>
          <w:sz w:val="20"/>
          <w:szCs w:val="20"/>
          <w:lang w:val="en-AU" w:eastAsia="zh-CN"/>
        </w:rPr>
      </w:pPr>
      <w:r w:rsidRPr="000672F6">
        <w:rPr>
          <w:rFonts w:ascii="Times New Roman" w:hAnsi="Times New Roman"/>
          <w:sz w:val="20"/>
          <w:szCs w:val="20"/>
          <w:lang w:val="en-AU" w:eastAsia="zh-CN"/>
        </w:rPr>
        <w:t>It is late in Rel-15 to introduce a separate UE capability and corresponding power control with respect to full power multiple PA transmission</w:t>
      </w:r>
    </w:p>
    <w:p w14:paraId="5D4D224C" w14:textId="77777777" w:rsidR="007C4DBD" w:rsidRPr="000672F6" w:rsidRDefault="007C4DBD" w:rsidP="007C4DBD">
      <w:pPr>
        <w:pStyle w:val="ListParagraph"/>
        <w:numPr>
          <w:ilvl w:val="1"/>
          <w:numId w:val="45"/>
        </w:numPr>
        <w:spacing w:after="180"/>
        <w:contextualSpacing/>
        <w:rPr>
          <w:rFonts w:ascii="Times New Roman" w:hAnsi="Times New Roman"/>
          <w:sz w:val="20"/>
          <w:szCs w:val="20"/>
          <w:lang w:val="en-AU" w:eastAsia="zh-CN"/>
        </w:rPr>
      </w:pPr>
      <w:r w:rsidRPr="000672F6">
        <w:rPr>
          <w:rFonts w:ascii="Times New Roman" w:hAnsi="Times New Roman"/>
          <w:sz w:val="20"/>
          <w:szCs w:val="20"/>
          <w:lang w:val="en-AU" w:eastAsia="zh-CN"/>
        </w:rPr>
        <w:t>Such a capability can be supported in the Rel-16 NR MIMO work item, which will specify enhancement to allow full power transmission in case of uplink transmission with multiple power amplifiers.</w:t>
      </w:r>
    </w:p>
    <w:p w14:paraId="3AABE1A3" w14:textId="32D98416" w:rsidR="00812652" w:rsidRPr="00832F73" w:rsidRDefault="00812652" w:rsidP="00812652">
      <w:r w:rsidRPr="00832F73">
        <w:lastRenderedPageBreak/>
        <w:t>In companion contribution</w:t>
      </w:r>
      <w:r w:rsidR="005F55E6" w:rsidRPr="00832F73">
        <w:t>s</w:t>
      </w:r>
      <w:r w:rsidRPr="00832F73">
        <w:t xml:space="preserve"> </w:t>
      </w:r>
      <w:r>
        <w:fldChar w:fldCharType="begin"/>
      </w:r>
      <w:r w:rsidRPr="00832F73">
        <w:instrText xml:space="preserve"> REF _Ref510821136 \r \h </w:instrText>
      </w:r>
      <w:r>
        <w:fldChar w:fldCharType="separate"/>
      </w:r>
      <w:r w:rsidR="006B39F4">
        <w:t>[1]</w:t>
      </w:r>
      <w:r>
        <w:fldChar w:fldCharType="end"/>
      </w:r>
      <w:r w:rsidR="00CF2323">
        <w:fldChar w:fldCharType="begin"/>
      </w:r>
      <w:r w:rsidR="00CF2323" w:rsidRPr="00832F73">
        <w:instrText xml:space="preserve"> REF _Ref521689248 \r \h </w:instrText>
      </w:r>
      <w:r w:rsidR="00CF2323">
        <w:fldChar w:fldCharType="separate"/>
      </w:r>
      <w:r w:rsidR="006B39F4">
        <w:t>[2]</w:t>
      </w:r>
      <w:r w:rsidR="00CF2323">
        <w:fldChar w:fldCharType="end"/>
      </w:r>
      <w:r w:rsidRPr="00832F73">
        <w:t xml:space="preserve">, we provide a more detailed background and show example approaches to modify the specification to remedy problems found for codebook as well as non-codebook based transmission. The related proposal from </w:t>
      </w:r>
      <w:r>
        <w:fldChar w:fldCharType="begin"/>
      </w:r>
      <w:r w:rsidRPr="00832F73">
        <w:instrText xml:space="preserve"> REF _Ref510821136 \r \h </w:instrText>
      </w:r>
      <w:r>
        <w:fldChar w:fldCharType="separate"/>
      </w:r>
      <w:r w:rsidR="006B39F4">
        <w:t>[1]</w:t>
      </w:r>
      <w:r>
        <w:fldChar w:fldCharType="end"/>
      </w:r>
      <w:r w:rsidRPr="00832F73">
        <w:t xml:space="preserve"> for </w:t>
      </w:r>
      <w:proofErr w:type="gramStart"/>
      <w:r w:rsidRPr="00832F73">
        <w:t>codebook based</w:t>
      </w:r>
      <w:proofErr w:type="gramEnd"/>
      <w:r w:rsidRPr="00832F73">
        <w:t xml:space="preserve"> operation is repeated here for convenience</w:t>
      </w:r>
      <w:r w:rsidR="009B3FE7" w:rsidRPr="00832F73">
        <w:t>:</w:t>
      </w:r>
    </w:p>
    <w:p w14:paraId="524060C5" w14:textId="175B81B6" w:rsidR="00812652" w:rsidRPr="004F6AB2" w:rsidRDefault="00812652" w:rsidP="000672F6">
      <w:pPr>
        <w:spacing w:after="0"/>
        <w:rPr>
          <w:b/>
        </w:rPr>
      </w:pPr>
      <w:r w:rsidRPr="004F6AB2">
        <w:rPr>
          <w:b/>
        </w:rPr>
        <w:t xml:space="preserve">Proposal </w:t>
      </w:r>
      <w:r w:rsidR="00260D12">
        <w:rPr>
          <w:b/>
        </w:rPr>
        <w:t>3</w:t>
      </w:r>
      <w:r w:rsidR="009D72EC">
        <w:rPr>
          <w:b/>
        </w:rPr>
        <w:t xml:space="preserve"> </w:t>
      </w:r>
      <w:r w:rsidRPr="00A04430">
        <w:rPr>
          <w:b/>
        </w:rPr>
        <w:t>(for agenda item 7.1.</w:t>
      </w:r>
      <w:r w:rsidR="00A648BB">
        <w:rPr>
          <w:b/>
        </w:rPr>
        <w:t>5</w:t>
      </w:r>
      <w:r w:rsidRPr="00A04430">
        <w:rPr>
          <w:b/>
        </w:rPr>
        <w:t>)</w:t>
      </w:r>
    </w:p>
    <w:p w14:paraId="0ACD48B3" w14:textId="2CD2A184" w:rsidR="00812652" w:rsidRPr="00832F73" w:rsidRDefault="00A648BB" w:rsidP="000672F6">
      <w:pPr>
        <w:pStyle w:val="ListBullet"/>
        <w:rPr>
          <w:rFonts w:ascii="Times New Roman" w:hAnsi="Times New Roman"/>
        </w:rPr>
      </w:pPr>
      <w:r w:rsidRPr="00832F73">
        <w:rPr>
          <w:rFonts w:ascii="Times New Roman" w:hAnsi="Times New Roman"/>
        </w:rPr>
        <w:t xml:space="preserve">Clarify Rel-15 NR PUSCH </w:t>
      </w:r>
      <w:r w:rsidR="009319BE">
        <w:rPr>
          <w:rFonts w:ascii="Times New Roman" w:hAnsi="Times New Roman"/>
        </w:rPr>
        <w:t xml:space="preserve">and SRS </w:t>
      </w:r>
      <w:r w:rsidRPr="00832F73">
        <w:rPr>
          <w:rFonts w:ascii="Times New Roman" w:hAnsi="Times New Roman"/>
        </w:rPr>
        <w:t xml:space="preserve">power scaling specifications such that </w:t>
      </w:r>
      <w:r w:rsidR="00C562CF" w:rsidRPr="00832F73">
        <w:rPr>
          <w:rFonts w:ascii="Times New Roman" w:hAnsi="Times New Roman"/>
        </w:rPr>
        <w:t xml:space="preserve">per-PA </w:t>
      </w:r>
      <w:r w:rsidRPr="00832F73">
        <w:rPr>
          <w:rFonts w:ascii="Times New Roman" w:hAnsi="Times New Roman"/>
        </w:rPr>
        <w:t xml:space="preserve">full power </w:t>
      </w:r>
      <w:r w:rsidR="00D618CD" w:rsidRPr="00832F73">
        <w:rPr>
          <w:rFonts w:ascii="Times New Roman" w:hAnsi="Times New Roman"/>
        </w:rPr>
        <w:t>capacity</w:t>
      </w:r>
      <w:r w:rsidRPr="00832F73">
        <w:rPr>
          <w:rFonts w:ascii="Times New Roman" w:hAnsi="Times New Roman"/>
        </w:rPr>
        <w:t xml:space="preserve"> </w:t>
      </w:r>
      <w:r w:rsidR="002D6B7A" w:rsidRPr="00832F73">
        <w:rPr>
          <w:rFonts w:ascii="Times New Roman" w:hAnsi="Times New Roman"/>
        </w:rPr>
        <w:t xml:space="preserve">for all PAs in the UE </w:t>
      </w:r>
      <w:r w:rsidRPr="00832F73">
        <w:rPr>
          <w:rFonts w:ascii="Times New Roman" w:hAnsi="Times New Roman"/>
        </w:rPr>
        <w:t>is not required for any MIMO UE capability</w:t>
      </w:r>
    </w:p>
    <w:p w14:paraId="006ABA6C" w14:textId="77777777" w:rsidR="00812652" w:rsidRPr="00832F73" w:rsidRDefault="00812652" w:rsidP="00812652">
      <w:pPr>
        <w:pStyle w:val="BodyText"/>
        <w:spacing w:after="0"/>
        <w:rPr>
          <w:lang w:eastAsia="ja-JP"/>
        </w:rPr>
      </w:pPr>
    </w:p>
    <w:p w14:paraId="43A0F210" w14:textId="549253E5" w:rsidR="00812652" w:rsidRPr="00832F73" w:rsidRDefault="00812652" w:rsidP="004B258F">
      <w:r w:rsidRPr="00832F73">
        <w:t>Please note that we do not propose to discuss this in the MIMO agenda points, as it has been treated since RAN1#93 under the power control agenda point.  Our intention is to draw the attention of MIMO experts so that they can participate in the related power control discussion.</w:t>
      </w:r>
    </w:p>
    <w:bookmarkEnd w:id="4"/>
    <w:p w14:paraId="517888ED" w14:textId="678E4B5C" w:rsidR="00864123" w:rsidRDefault="00864123" w:rsidP="00864123">
      <w:pPr>
        <w:pStyle w:val="Heading2"/>
      </w:pPr>
      <w:r>
        <w:t xml:space="preserve">2.2 </w:t>
      </w:r>
      <w:r>
        <w:tab/>
        <w:t xml:space="preserve">Codebook </w:t>
      </w:r>
      <w:r w:rsidR="00741344">
        <w:t>and non-</w:t>
      </w:r>
      <w:proofErr w:type="gramStart"/>
      <w:r w:rsidR="00521506">
        <w:t>c</w:t>
      </w:r>
      <w:r w:rsidR="00741344">
        <w:t xml:space="preserve">odebook </w:t>
      </w:r>
      <w:r>
        <w:t>based</w:t>
      </w:r>
      <w:proofErr w:type="gramEnd"/>
      <w:r>
        <w:t xml:space="preserve"> transmission</w:t>
      </w:r>
    </w:p>
    <w:p w14:paraId="199B10DA" w14:textId="58EDF60A" w:rsidR="00742F55" w:rsidRDefault="00742F55" w:rsidP="00742F55">
      <w:pPr>
        <w:pStyle w:val="Heading3"/>
        <w:rPr>
          <w:rFonts w:eastAsia="MS Mincho"/>
          <w:lang w:val="en-US" w:eastAsia="en-US"/>
        </w:rPr>
      </w:pPr>
      <w:r>
        <w:rPr>
          <w:rFonts w:eastAsia="MS Mincho"/>
          <w:lang w:val="en-US" w:eastAsia="en-US"/>
        </w:rPr>
        <w:t xml:space="preserve">2.2.1 </w:t>
      </w:r>
      <w:r w:rsidRPr="00742F55">
        <w:rPr>
          <w:rFonts w:eastAsia="MS Mincho"/>
          <w:lang w:val="en-US" w:eastAsia="en-US"/>
        </w:rPr>
        <w:t xml:space="preserve">Configuration of </w:t>
      </w:r>
      <w:r w:rsidR="00825C30" w:rsidRPr="00742F55">
        <w:rPr>
          <w:rFonts w:eastAsia="MS Mincho"/>
          <w:lang w:val="en-US" w:eastAsia="en-US"/>
        </w:rPr>
        <w:t xml:space="preserve">a switching gap for </w:t>
      </w:r>
      <w:r w:rsidR="00825C30">
        <w:rPr>
          <w:rFonts w:eastAsia="MS Mincho"/>
          <w:lang w:val="en-US" w:eastAsia="en-US"/>
        </w:rPr>
        <w:t>SRS</w:t>
      </w:r>
      <w:r w:rsidR="00825C30" w:rsidRPr="00742F55">
        <w:rPr>
          <w:rFonts w:eastAsia="MS Mincho"/>
          <w:lang w:val="en-US" w:eastAsia="en-US"/>
        </w:rPr>
        <w:t xml:space="preserve"> in codebook </w:t>
      </w:r>
      <w:r w:rsidR="00825C30">
        <w:rPr>
          <w:rFonts w:eastAsia="MS Mincho"/>
          <w:lang w:val="en-US" w:eastAsia="en-US"/>
        </w:rPr>
        <w:t>and non-</w:t>
      </w:r>
      <w:proofErr w:type="gramStart"/>
      <w:r w:rsidR="00825C30">
        <w:rPr>
          <w:rFonts w:eastAsia="MS Mincho"/>
          <w:lang w:val="en-US" w:eastAsia="en-US"/>
        </w:rPr>
        <w:t xml:space="preserve">codebook </w:t>
      </w:r>
      <w:r w:rsidR="00825C30" w:rsidRPr="00742F55">
        <w:rPr>
          <w:rFonts w:eastAsia="MS Mincho"/>
          <w:lang w:val="en-US" w:eastAsia="en-US"/>
        </w:rPr>
        <w:t>based</w:t>
      </w:r>
      <w:proofErr w:type="gramEnd"/>
      <w:r w:rsidR="00825C30" w:rsidRPr="00742F55">
        <w:rPr>
          <w:rFonts w:eastAsia="MS Mincho"/>
          <w:lang w:val="en-US" w:eastAsia="en-US"/>
        </w:rPr>
        <w:t xml:space="preserve"> operation</w:t>
      </w:r>
    </w:p>
    <w:p w14:paraId="50C9C7D2" w14:textId="69088CA2" w:rsidR="007F16D2" w:rsidRDefault="007F16D2" w:rsidP="00E10CE7">
      <w:pPr>
        <w:jc w:val="both"/>
      </w:pPr>
      <w:r w:rsidRPr="00023121">
        <w:t xml:space="preserve">The LS from RAN4 </w:t>
      </w:r>
      <w:r w:rsidR="00023121" w:rsidRPr="00E10CE7">
        <w:fldChar w:fldCharType="begin"/>
      </w:r>
      <w:r w:rsidR="00023121" w:rsidRPr="00023121">
        <w:instrText xml:space="preserve"> REF _Ref525914821 \r \h </w:instrText>
      </w:r>
      <w:r w:rsidR="00023121">
        <w:instrText xml:space="preserve"> \* MERGEFORMAT </w:instrText>
      </w:r>
      <w:r w:rsidR="00023121" w:rsidRPr="00E10CE7">
        <w:fldChar w:fldCharType="separate"/>
      </w:r>
      <w:r w:rsidR="00023121" w:rsidRPr="00023121">
        <w:t>[7]</w:t>
      </w:r>
      <w:r w:rsidR="00023121" w:rsidRPr="00E10CE7">
        <w:fldChar w:fldCharType="end"/>
      </w:r>
      <w:r w:rsidR="00023121" w:rsidRPr="00E10CE7">
        <w:t xml:space="preserve"> </w:t>
      </w:r>
      <w:r w:rsidR="00023121">
        <w:t xml:space="preserve">can be paraphrased as saying </w:t>
      </w:r>
      <w:r w:rsidRPr="00023121">
        <w:t xml:space="preserve">that switching times could </w:t>
      </w:r>
      <w:r w:rsidR="00023121">
        <w:t xml:space="preserve"> be </w:t>
      </w:r>
      <w:r w:rsidRPr="00023121">
        <w:t xml:space="preserve">needed between SRS and </w:t>
      </w:r>
      <w:r w:rsidR="00B1477A" w:rsidRPr="00023121">
        <w:t>SRS/</w:t>
      </w:r>
      <w:r w:rsidRPr="00023121">
        <w:t>PUSCH/PUCCH</w:t>
      </w:r>
      <w:r w:rsidR="00B1477A" w:rsidRPr="00023121">
        <w:t xml:space="preserve">, with the greatest need being for 60 kHz, </w:t>
      </w:r>
      <w:r w:rsidR="00281EA6" w:rsidRPr="00023121">
        <w:t>a lesser need</w:t>
      </w:r>
      <w:r w:rsidR="00B1477A" w:rsidRPr="00023121">
        <w:t xml:space="preserve"> for 30 kHz, and probably </w:t>
      </w:r>
      <w:r w:rsidR="00281EA6" w:rsidRPr="00023121">
        <w:t xml:space="preserve">no need </w:t>
      </w:r>
      <w:r w:rsidR="00B1477A" w:rsidRPr="00023121">
        <w:t xml:space="preserve">for 15 kHz.  </w:t>
      </w:r>
      <w:r w:rsidR="00FD0293" w:rsidRPr="00023121">
        <w:t xml:space="preserve">While the rationale for a gap varies somewhat between codebook and non-codebook based operation (as discussed in </w:t>
      </w:r>
      <w:r w:rsidR="00023121">
        <w:fldChar w:fldCharType="begin"/>
      </w:r>
      <w:r w:rsidR="00023121">
        <w:instrText xml:space="preserve"> REF _Ref525914846 \r \h </w:instrText>
      </w:r>
      <w:r w:rsidR="00023121">
        <w:fldChar w:fldCharType="separate"/>
      </w:r>
      <w:r w:rsidR="00023121">
        <w:t>[8]</w:t>
      </w:r>
      <w:r w:rsidR="00023121">
        <w:fldChar w:fldCharType="end"/>
      </w:r>
      <w:r w:rsidR="00FD0293" w:rsidRPr="00023121">
        <w:t xml:space="preserve">), taking the RAN4 feedback into account, the need for a switching gap is not obviously </w:t>
      </w:r>
      <w:r w:rsidR="005E108B" w:rsidRPr="00023121">
        <w:t>critical</w:t>
      </w:r>
      <w:r w:rsidR="00FD0293" w:rsidRPr="00023121">
        <w:t xml:space="preserve"> in either transmission sch</w:t>
      </w:r>
      <w:r w:rsidR="00FD0293">
        <w:t>eme</w:t>
      </w:r>
      <w:r w:rsidR="005E108B">
        <w:t xml:space="preserve"> (and considering that the bar is very high to make changes at this stage in Rel-15)</w:t>
      </w:r>
      <w:r w:rsidR="00FD0293">
        <w:t xml:space="preserve">, since scheduling and/or configuration can avoid or compensate switching losses.  </w:t>
      </w:r>
      <w:r w:rsidR="00B1477A">
        <w:t>We also note that UE implementations with 2 transmit chains would not require a gap</w:t>
      </w:r>
      <w:r w:rsidR="006A546E">
        <w:t xml:space="preserve"> to switch among 2</w:t>
      </w:r>
      <w:r w:rsidR="00FD0293">
        <w:t xml:space="preserve"> antennas</w:t>
      </w:r>
      <w:r w:rsidR="006A546E">
        <w:t xml:space="preserve">.  </w:t>
      </w:r>
      <w:r w:rsidR="00B1477A">
        <w:t>For</w:t>
      </w:r>
      <w:r w:rsidR="006A546E">
        <w:t xml:space="preserve"> </w:t>
      </w:r>
      <w:r w:rsidR="00B1477A">
        <w:t>Rel-15</w:t>
      </w:r>
      <w:r w:rsidR="006A546E">
        <w:t xml:space="preserve"> UEs that do require a gap</w:t>
      </w:r>
      <w:r w:rsidR="00B1477A">
        <w:t xml:space="preserve">, such cases should be avoided by </w:t>
      </w:r>
      <w:r w:rsidR="006A546E">
        <w:t xml:space="preserve">scheduling and/or configuration.  Performance gains of </w:t>
      </w:r>
      <w:r w:rsidR="00281EA6">
        <w:t xml:space="preserve">specification </w:t>
      </w:r>
      <w:r w:rsidR="006A546E">
        <w:t>enhancements for UEs requiring a switching gap could be further studied for Rel-16 if there is commercial interest.</w:t>
      </w:r>
    </w:p>
    <w:p w14:paraId="20003F9C" w14:textId="6D022FF9" w:rsidR="001772E8" w:rsidRDefault="001A21BD" w:rsidP="00E10CE7">
      <w:pPr>
        <w:spacing w:after="0"/>
      </w:pPr>
      <w:r w:rsidRPr="00E10CE7">
        <w:rPr>
          <w:b/>
        </w:rPr>
        <w:t>Proposal</w:t>
      </w:r>
      <w:r w:rsidR="00BC429F">
        <w:rPr>
          <w:b/>
        </w:rPr>
        <w:t xml:space="preserve"> 4</w:t>
      </w:r>
      <w:r>
        <w:t>:</w:t>
      </w:r>
    </w:p>
    <w:p w14:paraId="6F040F0E" w14:textId="1B857143" w:rsidR="001A21BD" w:rsidRPr="00E10CE7" w:rsidRDefault="00C15A65" w:rsidP="00E10CE7">
      <w:pPr>
        <w:pStyle w:val="ListParagraph"/>
        <w:numPr>
          <w:ilvl w:val="0"/>
          <w:numId w:val="51"/>
        </w:numPr>
      </w:pPr>
      <w:r>
        <w:t xml:space="preserve">Existing mechanisms are used to compensate for </w:t>
      </w:r>
      <w:r>
        <w:rPr>
          <w:lang w:val="en-US"/>
        </w:rPr>
        <w:t xml:space="preserve">antenna </w:t>
      </w:r>
      <w:r>
        <w:t>switching losses in Rel-15, unless substantial performance losses cannot be avoided.</w:t>
      </w:r>
    </w:p>
    <w:p w14:paraId="5988C0DF" w14:textId="77777777" w:rsidR="00742F55" w:rsidRPr="00832F73" w:rsidRDefault="00742F55" w:rsidP="00742F55"/>
    <w:p w14:paraId="67A746ED" w14:textId="357BE247" w:rsidR="0003730C" w:rsidRPr="00976294" w:rsidRDefault="00976294" w:rsidP="00976294">
      <w:pPr>
        <w:pStyle w:val="Heading3"/>
        <w:rPr>
          <w:rFonts w:eastAsia="MS Mincho"/>
          <w:noProof/>
          <w:lang w:val="en-US" w:eastAsia="en-US"/>
        </w:rPr>
      </w:pPr>
      <w:r>
        <w:rPr>
          <w:rFonts w:eastAsia="MS Mincho"/>
          <w:noProof/>
          <w:lang w:val="en-US" w:eastAsia="en-US"/>
        </w:rPr>
        <w:t xml:space="preserve">2.3.2 </w:t>
      </w:r>
      <w:r w:rsidR="00825C30">
        <w:rPr>
          <w:rFonts w:eastAsia="MS Mincho"/>
          <w:noProof/>
          <w:lang w:val="en-US" w:eastAsia="en-US"/>
        </w:rPr>
        <w:t>S</w:t>
      </w:r>
      <w:r w:rsidR="00825C30" w:rsidRPr="00976294">
        <w:rPr>
          <w:rFonts w:eastAsia="MS Mincho"/>
          <w:noProof/>
          <w:lang w:val="en-US" w:eastAsia="en-US"/>
        </w:rPr>
        <w:t xml:space="preserve">imultaneous </w:t>
      </w:r>
      <w:r w:rsidR="00825C30">
        <w:rPr>
          <w:rFonts w:eastAsia="MS Mincho"/>
          <w:noProof/>
          <w:lang w:val="en-US" w:eastAsia="en-US"/>
        </w:rPr>
        <w:t xml:space="preserve">SRS </w:t>
      </w:r>
      <w:r w:rsidR="00825C30" w:rsidRPr="00976294">
        <w:rPr>
          <w:rFonts w:eastAsia="MS Mincho"/>
          <w:noProof/>
          <w:lang w:val="en-US" w:eastAsia="en-US"/>
        </w:rPr>
        <w:t xml:space="preserve">resource transmission and </w:t>
      </w:r>
      <w:r w:rsidR="00825C30">
        <w:rPr>
          <w:rFonts w:eastAsia="MS Mincho"/>
          <w:noProof/>
          <w:lang w:val="en-US" w:eastAsia="en-US"/>
        </w:rPr>
        <w:t xml:space="preserve">SRI </w:t>
      </w:r>
      <w:r w:rsidR="00825C30" w:rsidRPr="00976294">
        <w:rPr>
          <w:rFonts w:eastAsia="MS Mincho"/>
          <w:noProof/>
          <w:lang w:val="en-US" w:eastAsia="en-US"/>
        </w:rPr>
        <w:t>selection</w:t>
      </w:r>
    </w:p>
    <w:p w14:paraId="1758D169" w14:textId="7E0719CD" w:rsidR="0003730C" w:rsidRPr="00764D47" w:rsidRDefault="0003730C" w:rsidP="00E10CE7">
      <w:pPr>
        <w:jc w:val="both"/>
      </w:pPr>
      <w:r w:rsidRPr="00023121">
        <w:t xml:space="preserve">As discussed in RAN1#92 </w:t>
      </w:r>
      <w:r w:rsidRPr="00E10CE7">
        <w:fldChar w:fldCharType="begin"/>
      </w:r>
      <w:r w:rsidRPr="00023121">
        <w:instrText xml:space="preserve"> REF _Ref513761386 \r \h </w:instrText>
      </w:r>
      <w:r w:rsidR="00976294" w:rsidRPr="00023121">
        <w:instrText xml:space="preserve"> \* MERGEFORMAT </w:instrText>
      </w:r>
      <w:r w:rsidRPr="00E10CE7">
        <w:fldChar w:fldCharType="separate"/>
      </w:r>
      <w:r w:rsidR="006B39F4" w:rsidRPr="00E10CE7">
        <w:t>[4]</w:t>
      </w:r>
      <w:r w:rsidRPr="00E10CE7">
        <w:fldChar w:fldCharType="end"/>
      </w:r>
      <w:r w:rsidRPr="00023121">
        <w:t xml:space="preserve"> and in RAN1#92bis</w:t>
      </w:r>
      <w:r w:rsidRPr="00E10CE7">
        <w:fldChar w:fldCharType="begin"/>
      </w:r>
      <w:r w:rsidRPr="00023121">
        <w:instrText xml:space="preserve"> REF _Ref513735171 \r \h </w:instrText>
      </w:r>
      <w:r w:rsidR="00976294" w:rsidRPr="00023121">
        <w:instrText xml:space="preserve"> \* MERGEFORMAT </w:instrText>
      </w:r>
      <w:r w:rsidRPr="00E10CE7">
        <w:fldChar w:fldCharType="separate"/>
      </w:r>
      <w:r w:rsidR="006B39F4" w:rsidRPr="00E10CE7">
        <w:t>[5]</w:t>
      </w:r>
      <w:r w:rsidRPr="00E10CE7">
        <w:fldChar w:fldCharType="end"/>
      </w:r>
      <w:r w:rsidRPr="00023121">
        <w:t>, it is</w:t>
      </w:r>
      <w:r w:rsidRPr="00832F73">
        <w:t xml:space="preserve"> still unresolved how the gNB knows which SRS resources can be transmitted simultaneously by the gNB when the UE is configured with more SRS resources than it can transmit simultaneously in non-codebook based precoding.  </w:t>
      </w:r>
      <w:r w:rsidRPr="00976294">
        <w:t xml:space="preserve">There are </w:t>
      </w:r>
      <w:proofErr w:type="gramStart"/>
      <w:r w:rsidRPr="00976294">
        <w:t>a number of</w:t>
      </w:r>
      <w:proofErr w:type="gramEnd"/>
      <w:r w:rsidRPr="00976294">
        <w:t xml:space="preserve"> possible </w:t>
      </w:r>
      <w:r w:rsidRPr="00764D47">
        <w:t>solutions:</w:t>
      </w:r>
    </w:p>
    <w:p w14:paraId="45665E6B" w14:textId="77777777" w:rsidR="0003730C" w:rsidRPr="00E10CE7" w:rsidRDefault="0003730C" w:rsidP="0003730C">
      <w:pPr>
        <w:pStyle w:val="ListParagraph"/>
        <w:numPr>
          <w:ilvl w:val="0"/>
          <w:numId w:val="36"/>
        </w:numPr>
        <w:spacing w:after="180" w:line="256" w:lineRule="auto"/>
        <w:contextualSpacing/>
        <w:rPr>
          <w:rFonts w:ascii="Times New Roman" w:hAnsi="Times New Roman"/>
          <w:i/>
        </w:rPr>
      </w:pPr>
      <w:r w:rsidRPr="00E10CE7">
        <w:rPr>
          <w:rFonts w:ascii="Times New Roman" w:hAnsi="Times New Roman"/>
          <w:i/>
        </w:rPr>
        <w:t>Preclude that the UE can be configured with more SRS resources than it can transmit simultaneously.</w:t>
      </w:r>
    </w:p>
    <w:p w14:paraId="03410E55" w14:textId="77777777" w:rsidR="0003730C" w:rsidRPr="00E10CE7" w:rsidRDefault="0003730C" w:rsidP="00E10CE7">
      <w:pPr>
        <w:pStyle w:val="ListParagraph"/>
        <w:jc w:val="both"/>
        <w:rPr>
          <w:rFonts w:ascii="Times New Roman" w:hAnsi="Times New Roman"/>
        </w:rPr>
      </w:pPr>
      <w:r w:rsidRPr="00E10CE7">
        <w:rPr>
          <w:rFonts w:ascii="Times New Roman" w:hAnsi="Times New Roman"/>
        </w:rPr>
        <w:t>This has a severe drawback:  UEs cannot support gNB controlled uplink antenna selection in non-codebook based operation.  Uplink antenna selection requires that a UE be configured with multiple SRS resources that it can’t transmit simultaneously.  Antenna selections is probably the most basic use case of non-codebook based precoding, and so the above restriction would run counter to agreeing to support non-codebook based transmission in the first place.</w:t>
      </w:r>
    </w:p>
    <w:p w14:paraId="71CF9616" w14:textId="77777777" w:rsidR="0003730C" w:rsidRPr="00E10CE7" w:rsidRDefault="0003730C" w:rsidP="0003730C">
      <w:pPr>
        <w:pStyle w:val="ListParagraph"/>
        <w:rPr>
          <w:rFonts w:ascii="Times New Roman" w:hAnsi="Times New Roman"/>
        </w:rPr>
      </w:pPr>
    </w:p>
    <w:p w14:paraId="43BDC793" w14:textId="77777777" w:rsidR="0003730C" w:rsidRPr="00E10CE7" w:rsidRDefault="0003730C" w:rsidP="0003730C">
      <w:pPr>
        <w:pStyle w:val="ListParagraph"/>
        <w:numPr>
          <w:ilvl w:val="0"/>
          <w:numId w:val="36"/>
        </w:numPr>
        <w:spacing w:after="180" w:line="256" w:lineRule="auto"/>
        <w:contextualSpacing/>
        <w:rPr>
          <w:rFonts w:ascii="Times New Roman" w:hAnsi="Times New Roman"/>
          <w:i/>
        </w:rPr>
      </w:pPr>
      <w:r w:rsidRPr="00E10CE7">
        <w:rPr>
          <w:rFonts w:ascii="Times New Roman" w:hAnsi="Times New Roman"/>
          <w:i/>
        </w:rPr>
        <w:lastRenderedPageBreak/>
        <w:t>Use beam management resources to determine which SRS resources can be transmitted simultaneously</w:t>
      </w:r>
    </w:p>
    <w:p w14:paraId="629E2D70" w14:textId="77777777" w:rsidR="0003730C" w:rsidRPr="00E10CE7" w:rsidRDefault="0003730C" w:rsidP="00E10CE7">
      <w:pPr>
        <w:pStyle w:val="ListParagraph"/>
        <w:jc w:val="both"/>
        <w:rPr>
          <w:rFonts w:ascii="Times New Roman" w:hAnsi="Times New Roman"/>
        </w:rPr>
      </w:pPr>
      <w:r w:rsidRPr="00E10CE7">
        <w:rPr>
          <w:rFonts w:ascii="Times New Roman" w:hAnsi="Times New Roman"/>
        </w:rPr>
        <w:t xml:space="preserve">Since beam management is not likely to be used for FR1, this is not a general solution.  Also, using </w:t>
      </w:r>
      <w:r w:rsidRPr="00E10CE7">
        <w:rPr>
          <w:rFonts w:ascii="Times New Roman" w:hAnsi="Times New Roman"/>
          <w:i/>
        </w:rPr>
        <w:t>SRS-</w:t>
      </w:r>
      <w:proofErr w:type="spellStart"/>
      <w:r w:rsidRPr="00E10CE7">
        <w:rPr>
          <w:rFonts w:ascii="Times New Roman" w:hAnsi="Times New Roman"/>
          <w:i/>
        </w:rPr>
        <w:t>SpatialRelationInfo</w:t>
      </w:r>
      <w:proofErr w:type="spellEnd"/>
      <w:r w:rsidRPr="00E10CE7">
        <w:rPr>
          <w:rFonts w:ascii="Times New Roman" w:hAnsi="Times New Roman"/>
        </w:rPr>
        <w:t xml:space="preserve"> to establish which resources can be transmitted simultaneously is not really what it is designed for: </w:t>
      </w:r>
      <w:r w:rsidRPr="00E10CE7">
        <w:rPr>
          <w:rFonts w:ascii="Times New Roman" w:hAnsi="Times New Roman"/>
          <w:i/>
        </w:rPr>
        <w:t>SRS-</w:t>
      </w:r>
      <w:proofErr w:type="spellStart"/>
      <w:r w:rsidRPr="00E10CE7">
        <w:rPr>
          <w:rFonts w:ascii="Times New Roman" w:hAnsi="Times New Roman"/>
          <w:i/>
        </w:rPr>
        <w:t>SpatialRelationInfo</w:t>
      </w:r>
      <w:proofErr w:type="spellEnd"/>
      <w:r w:rsidRPr="00E10CE7">
        <w:rPr>
          <w:rFonts w:ascii="Times New Roman" w:hAnsi="Times New Roman"/>
        </w:rPr>
        <w:t xml:space="preserve"> identifies common spatial domain transmission filters (i.e. ‘beam directions’), not which transmit chains are used.</w:t>
      </w:r>
    </w:p>
    <w:p w14:paraId="69421620" w14:textId="77777777" w:rsidR="0003730C" w:rsidRPr="00E10CE7" w:rsidRDefault="0003730C" w:rsidP="0003730C">
      <w:pPr>
        <w:pStyle w:val="ListParagraph"/>
        <w:rPr>
          <w:rFonts w:ascii="Times New Roman" w:hAnsi="Times New Roman"/>
        </w:rPr>
      </w:pPr>
    </w:p>
    <w:p w14:paraId="2757ADCE" w14:textId="77777777" w:rsidR="0003730C" w:rsidRPr="00E10CE7" w:rsidRDefault="0003730C" w:rsidP="0003730C">
      <w:pPr>
        <w:pStyle w:val="ListParagraph"/>
        <w:numPr>
          <w:ilvl w:val="0"/>
          <w:numId w:val="36"/>
        </w:numPr>
        <w:spacing w:after="180" w:line="256" w:lineRule="auto"/>
        <w:contextualSpacing/>
        <w:rPr>
          <w:rFonts w:ascii="Times New Roman" w:hAnsi="Times New Roman"/>
          <w:i/>
        </w:rPr>
      </w:pPr>
      <w:r w:rsidRPr="00E10CE7">
        <w:rPr>
          <w:rFonts w:ascii="Times New Roman" w:hAnsi="Times New Roman"/>
          <w:i/>
        </w:rPr>
        <w:t>Only SRS resources transmitted in the same OFDM symbol can be transmitted simultaneously</w:t>
      </w:r>
    </w:p>
    <w:p w14:paraId="1BD08BB7" w14:textId="21D557D8" w:rsidR="001C73D6" w:rsidRPr="00E10CE7" w:rsidRDefault="0003730C" w:rsidP="00E10CE7">
      <w:pPr>
        <w:pStyle w:val="ListParagraph"/>
        <w:jc w:val="both"/>
        <w:rPr>
          <w:rFonts w:ascii="Times New Roman" w:hAnsi="Times New Roman"/>
        </w:rPr>
      </w:pPr>
      <w:r w:rsidRPr="00E10CE7">
        <w:rPr>
          <w:rFonts w:ascii="Times New Roman" w:hAnsi="Times New Roman"/>
        </w:rPr>
        <w:t xml:space="preserve">This is a simple solution, and still allows for proper non-codebook based operation.  For example, if </w:t>
      </w:r>
      <w:r w:rsidR="000C0378" w:rsidRPr="00E10CE7">
        <w:rPr>
          <w:rFonts w:ascii="Times New Roman" w:hAnsi="Times New Roman"/>
          <w:lang w:val="en-US"/>
        </w:rPr>
        <w:t xml:space="preserve">a rank 2 capable UE is configured with </w:t>
      </w:r>
      <w:r w:rsidRPr="00E10CE7">
        <w:rPr>
          <w:rFonts w:ascii="Times New Roman" w:hAnsi="Times New Roman"/>
        </w:rPr>
        <w:t xml:space="preserve">4 SRS resources, only pairs can be transmitted simultaneously, </w:t>
      </w:r>
      <w:r w:rsidR="000C0378" w:rsidRPr="00E10CE7">
        <w:rPr>
          <w:rFonts w:ascii="Times New Roman" w:hAnsi="Times New Roman"/>
          <w:lang w:val="en-US"/>
        </w:rPr>
        <w:t xml:space="preserve">and so </w:t>
      </w:r>
      <w:r w:rsidRPr="00E10CE7">
        <w:rPr>
          <w:rFonts w:ascii="Times New Roman" w:hAnsi="Times New Roman"/>
        </w:rPr>
        <w:t xml:space="preserve">gNB would configure </w:t>
      </w:r>
      <w:r w:rsidR="000C0378" w:rsidRPr="00E10CE7">
        <w:rPr>
          <w:rFonts w:ascii="Times New Roman" w:hAnsi="Times New Roman"/>
          <w:lang w:val="en-US"/>
        </w:rPr>
        <w:t xml:space="preserve">6 combinations of </w:t>
      </w:r>
      <w:r w:rsidRPr="00E10CE7">
        <w:rPr>
          <w:rFonts w:ascii="Times New Roman" w:hAnsi="Times New Roman"/>
        </w:rPr>
        <w:t>SRS resources</w:t>
      </w:r>
      <w:r w:rsidR="000C0378" w:rsidRPr="00E10CE7">
        <w:rPr>
          <w:rFonts w:ascii="Times New Roman" w:hAnsi="Times New Roman"/>
          <w:lang w:val="en-US"/>
        </w:rPr>
        <w:t>, each with two resources</w:t>
      </w:r>
      <w:r w:rsidRPr="00E10CE7">
        <w:rPr>
          <w:rFonts w:ascii="Times New Roman" w:hAnsi="Times New Roman"/>
        </w:rPr>
        <w:t xml:space="preserve"> per symbol in </w:t>
      </w:r>
      <w:r w:rsidR="000C0378" w:rsidRPr="00E10CE7">
        <w:rPr>
          <w:rFonts w:ascii="Times New Roman" w:hAnsi="Times New Roman"/>
          <w:lang w:val="en-US"/>
        </w:rPr>
        <w:t xml:space="preserve">6 </w:t>
      </w:r>
      <w:r w:rsidRPr="00E10CE7">
        <w:rPr>
          <w:rFonts w:ascii="Times New Roman" w:hAnsi="Times New Roman"/>
        </w:rPr>
        <w:t xml:space="preserve">different symbols.  The gNB can then pick any SRS resource </w:t>
      </w:r>
      <w:r w:rsidR="000C0378" w:rsidRPr="00E10CE7">
        <w:rPr>
          <w:rFonts w:ascii="Times New Roman" w:hAnsi="Times New Roman"/>
          <w:lang w:val="en-US"/>
        </w:rPr>
        <w:t xml:space="preserve">combination </w:t>
      </w:r>
      <w:r w:rsidRPr="00E10CE7">
        <w:rPr>
          <w:rFonts w:ascii="Times New Roman" w:hAnsi="Times New Roman"/>
        </w:rPr>
        <w:t xml:space="preserve">it wants for each OFDM symbol.  </w:t>
      </w:r>
      <w:r w:rsidR="000C0378" w:rsidRPr="00E10CE7">
        <w:rPr>
          <w:rFonts w:ascii="Times New Roman" w:hAnsi="Times New Roman"/>
        </w:rPr>
        <w:t xml:space="preserve">The </w:t>
      </w:r>
      <w:r w:rsidR="000C0378" w:rsidRPr="00E10CE7">
        <w:rPr>
          <w:rFonts w:ascii="Times New Roman" w:hAnsi="Times New Roman"/>
          <w:lang w:val="en-US"/>
        </w:rPr>
        <w:t>main drawback of this approach is that the UE must be configured with all possible rank&gt;1 combinations of the SRS resources for gNB to be sure that they combination can be transmitted simultaneously.  This means that 6 instead of 4 or resources is needed for a UE capable of 4 resources and rand 2 transmission.  A second</w:t>
      </w:r>
      <w:r w:rsidRPr="00E10CE7">
        <w:rPr>
          <w:rFonts w:ascii="Times New Roman" w:hAnsi="Times New Roman"/>
        </w:rPr>
        <w:t xml:space="preserve"> drawback of such an approach is that </w:t>
      </w:r>
      <w:r w:rsidR="00943A3A" w:rsidRPr="00E10CE7">
        <w:rPr>
          <w:rFonts w:ascii="Times New Roman" w:hAnsi="Times New Roman"/>
          <w:lang w:val="en-US"/>
        </w:rPr>
        <w:t xml:space="preserve">two </w:t>
      </w:r>
      <w:r w:rsidRPr="00E10CE7">
        <w:rPr>
          <w:rFonts w:ascii="Times New Roman" w:hAnsi="Times New Roman"/>
        </w:rPr>
        <w:t>times the SRS power is needed in one OFDM symbol, which will decrease SRS range.  Furthermore, when periodic SRS is used, the same periodicity and slot offset must be used for the resource pairs resulting in some increased overhead and lost flexibility.</w:t>
      </w:r>
    </w:p>
    <w:p w14:paraId="2810D539" w14:textId="77777777" w:rsidR="0003730C" w:rsidRPr="00E10CE7" w:rsidRDefault="0003730C" w:rsidP="0003730C">
      <w:pPr>
        <w:pStyle w:val="ListParagraph"/>
        <w:rPr>
          <w:rFonts w:ascii="Times New Roman" w:hAnsi="Times New Roman"/>
        </w:rPr>
      </w:pPr>
    </w:p>
    <w:p w14:paraId="28D0A0E8" w14:textId="77777777" w:rsidR="0003730C" w:rsidRPr="00E10CE7" w:rsidRDefault="0003730C" w:rsidP="0003730C">
      <w:pPr>
        <w:pStyle w:val="ListParagraph"/>
        <w:numPr>
          <w:ilvl w:val="0"/>
          <w:numId w:val="36"/>
        </w:numPr>
        <w:spacing w:after="180" w:line="256" w:lineRule="auto"/>
        <w:contextualSpacing/>
        <w:rPr>
          <w:rFonts w:ascii="Times New Roman" w:hAnsi="Times New Roman"/>
          <w:i/>
        </w:rPr>
      </w:pPr>
      <w:r w:rsidRPr="00E10CE7">
        <w:rPr>
          <w:rFonts w:ascii="Times New Roman" w:hAnsi="Times New Roman"/>
          <w:i/>
        </w:rPr>
        <w:t>Only fixed pairs of SRS resources can be transmitted simultaneously</w:t>
      </w:r>
    </w:p>
    <w:p w14:paraId="66B9BCC5" w14:textId="1097B7BD" w:rsidR="0003730C" w:rsidRPr="00E10CE7" w:rsidRDefault="0003730C" w:rsidP="00E10CE7">
      <w:pPr>
        <w:pStyle w:val="ListParagraph"/>
        <w:jc w:val="both"/>
        <w:rPr>
          <w:rFonts w:ascii="Times New Roman" w:hAnsi="Times New Roman"/>
        </w:rPr>
      </w:pPr>
      <w:r w:rsidRPr="00E10CE7">
        <w:rPr>
          <w:rFonts w:ascii="Times New Roman" w:hAnsi="Times New Roman"/>
        </w:rPr>
        <w:t>SRI can select any pair of resources in the current signaling.  Since UE can map any physical antenna to an SRS resource, simply limiting the SRI combinations to fixed subsets of the combinations could be enough.  For example, if the UE supports 2 simultaneous SRS transmission and is configured with 4 SRS resources, then SRIs containing SRS resource pairs {0,1} and {2,3} could be precluded, and all other combinations allowed.  Having a fixed mapping may reduce some flexibility in UE implementation, since there can be more than one way to select possible SRS combinations.  However, given that only 4 SRS resources can be configured for non-codebook based operation, the impact on UE flexibility should be minor.</w:t>
      </w:r>
    </w:p>
    <w:p w14:paraId="7E8BBF42" w14:textId="77777777" w:rsidR="0003730C" w:rsidRPr="00E10CE7" w:rsidRDefault="0003730C" w:rsidP="0003730C">
      <w:pPr>
        <w:pStyle w:val="ListParagraph"/>
        <w:rPr>
          <w:rFonts w:ascii="Times New Roman" w:hAnsi="Times New Roman"/>
        </w:rPr>
      </w:pPr>
    </w:p>
    <w:p w14:paraId="5235442E" w14:textId="77777777" w:rsidR="0003730C" w:rsidRPr="00E10CE7" w:rsidRDefault="0003730C" w:rsidP="0003730C">
      <w:pPr>
        <w:pStyle w:val="ListParagraph"/>
        <w:numPr>
          <w:ilvl w:val="0"/>
          <w:numId w:val="36"/>
        </w:numPr>
        <w:spacing w:after="180" w:line="256" w:lineRule="auto"/>
        <w:contextualSpacing/>
        <w:rPr>
          <w:rFonts w:ascii="Times New Roman" w:hAnsi="Times New Roman"/>
          <w:i/>
        </w:rPr>
      </w:pPr>
      <w:r w:rsidRPr="00E10CE7">
        <w:rPr>
          <w:rFonts w:ascii="Times New Roman" w:hAnsi="Times New Roman"/>
          <w:i/>
        </w:rPr>
        <w:t>The UE signals combinations of SRS resources it can support</w:t>
      </w:r>
    </w:p>
    <w:p w14:paraId="608586A1" w14:textId="27707EF7" w:rsidR="0003730C" w:rsidRPr="00E10CE7" w:rsidRDefault="0003730C" w:rsidP="0003730C">
      <w:pPr>
        <w:pStyle w:val="ListParagraph"/>
        <w:rPr>
          <w:rFonts w:ascii="Times New Roman" w:hAnsi="Times New Roman"/>
        </w:rPr>
      </w:pPr>
      <w:r w:rsidRPr="00E10CE7">
        <w:rPr>
          <w:rFonts w:ascii="Times New Roman" w:hAnsi="Times New Roman"/>
        </w:rPr>
        <w:t>This allows full flexibility, and is also conceptually simple.  A drawback is that new RRC signaling would be needed.</w:t>
      </w:r>
    </w:p>
    <w:p w14:paraId="7D8ABA3B" w14:textId="77777777" w:rsidR="0003730C" w:rsidRPr="00976294" w:rsidRDefault="0003730C" w:rsidP="0003730C">
      <w:pPr>
        <w:pStyle w:val="ListParagraph"/>
        <w:rPr>
          <w:rFonts w:ascii="Times New Roman" w:hAnsi="Times New Roman"/>
        </w:rPr>
      </w:pPr>
    </w:p>
    <w:p w14:paraId="4E177147" w14:textId="77777777" w:rsidR="0003730C" w:rsidRPr="00832F73" w:rsidRDefault="0003730C" w:rsidP="00E10CE7">
      <w:pPr>
        <w:spacing w:after="0"/>
        <w:jc w:val="both"/>
      </w:pPr>
      <w:r w:rsidRPr="00832F73">
        <w:rPr>
          <w:b/>
        </w:rPr>
        <w:t>Observations</w:t>
      </w:r>
      <w:r w:rsidRPr="00832F73">
        <w:t>:</w:t>
      </w:r>
    </w:p>
    <w:p w14:paraId="746196C4" w14:textId="77777777" w:rsidR="0003730C" w:rsidRPr="00764D47" w:rsidRDefault="0003730C" w:rsidP="00E10CE7">
      <w:pPr>
        <w:spacing w:after="0"/>
        <w:jc w:val="both"/>
      </w:pPr>
      <w:r w:rsidRPr="00764D47">
        <w:t xml:space="preserve">There are </w:t>
      </w:r>
      <w:proofErr w:type="gramStart"/>
      <w:r w:rsidRPr="00764D47">
        <w:t>a number of</w:t>
      </w:r>
      <w:proofErr w:type="gramEnd"/>
      <w:r w:rsidRPr="00764D47">
        <w:t xml:space="preserve"> solutions to determining which SRS resources can be transmitted simultaneously, with varying pros and cons:</w:t>
      </w:r>
    </w:p>
    <w:p w14:paraId="5EE1E592" w14:textId="77777777" w:rsidR="0003730C" w:rsidRPr="00E10CE7" w:rsidRDefault="0003730C" w:rsidP="00E10CE7">
      <w:pPr>
        <w:pStyle w:val="ListParagraph"/>
        <w:numPr>
          <w:ilvl w:val="0"/>
          <w:numId w:val="37"/>
        </w:numPr>
        <w:spacing w:after="180" w:line="256" w:lineRule="auto"/>
        <w:contextualSpacing/>
        <w:jc w:val="both"/>
        <w:rPr>
          <w:rFonts w:ascii="Times New Roman" w:hAnsi="Times New Roman"/>
        </w:rPr>
      </w:pPr>
      <w:r w:rsidRPr="00E10CE7">
        <w:rPr>
          <w:rFonts w:ascii="Times New Roman" w:hAnsi="Times New Roman"/>
        </w:rPr>
        <w:t>Precluding that the UE can be configured with more SRS resources than it can transmit simultaneously eliminates UE techniques such as antenna selection, which is a critical drawback.</w:t>
      </w:r>
    </w:p>
    <w:p w14:paraId="1B31025C" w14:textId="21C39124" w:rsidR="0003730C" w:rsidRPr="00E10CE7" w:rsidRDefault="0003730C" w:rsidP="00E10CE7">
      <w:pPr>
        <w:pStyle w:val="ListParagraph"/>
        <w:numPr>
          <w:ilvl w:val="0"/>
          <w:numId w:val="37"/>
        </w:numPr>
        <w:spacing w:after="180" w:line="256" w:lineRule="auto"/>
        <w:contextualSpacing/>
        <w:jc w:val="both"/>
        <w:rPr>
          <w:rFonts w:ascii="Times New Roman" w:hAnsi="Times New Roman"/>
        </w:rPr>
      </w:pPr>
      <w:r w:rsidRPr="00E10CE7">
        <w:rPr>
          <w:rFonts w:ascii="Times New Roman" w:hAnsi="Times New Roman"/>
        </w:rPr>
        <w:t>Using beam management resources does not seem like a general solution, being limited to FR</w:t>
      </w:r>
      <w:r w:rsidR="00741344" w:rsidRPr="00E10CE7">
        <w:rPr>
          <w:rFonts w:ascii="Times New Roman" w:hAnsi="Times New Roman"/>
          <w:lang w:val="en-US"/>
        </w:rPr>
        <w:t>2</w:t>
      </w:r>
      <w:r w:rsidRPr="00E10CE7">
        <w:rPr>
          <w:rFonts w:ascii="Times New Roman" w:hAnsi="Times New Roman"/>
        </w:rPr>
        <w:t>, nor is it clear how to use other SRS resources to establish whether non-codebook based resources can be transmitted simultaneously.</w:t>
      </w:r>
    </w:p>
    <w:p w14:paraId="4234419D" w14:textId="77777777" w:rsidR="0003730C" w:rsidRPr="00E10CE7" w:rsidRDefault="0003730C" w:rsidP="00E10CE7">
      <w:pPr>
        <w:pStyle w:val="ListParagraph"/>
        <w:numPr>
          <w:ilvl w:val="0"/>
          <w:numId w:val="37"/>
        </w:numPr>
        <w:spacing w:after="180" w:line="256" w:lineRule="auto"/>
        <w:contextualSpacing/>
        <w:jc w:val="both"/>
        <w:rPr>
          <w:rFonts w:ascii="Times New Roman" w:hAnsi="Times New Roman"/>
        </w:rPr>
      </w:pPr>
      <w:r w:rsidRPr="00E10CE7">
        <w:rPr>
          <w:rFonts w:ascii="Times New Roman" w:hAnsi="Times New Roman"/>
        </w:rPr>
        <w:t>Allowing only SRS resources in the same symbol to be transmitted simultaneously is not infeasible, but reduces SRS range by up to 6 dB as well as reducing time domain configurability.</w:t>
      </w:r>
    </w:p>
    <w:p w14:paraId="69C5F4BB" w14:textId="77777777" w:rsidR="0003730C" w:rsidRPr="00E10CE7" w:rsidRDefault="0003730C" w:rsidP="00E10CE7">
      <w:pPr>
        <w:pStyle w:val="ListParagraph"/>
        <w:numPr>
          <w:ilvl w:val="0"/>
          <w:numId w:val="37"/>
        </w:numPr>
        <w:spacing w:after="180" w:line="256" w:lineRule="auto"/>
        <w:contextualSpacing/>
        <w:jc w:val="both"/>
        <w:rPr>
          <w:rFonts w:ascii="Times New Roman" w:hAnsi="Times New Roman"/>
        </w:rPr>
      </w:pPr>
      <w:r w:rsidRPr="00E10CE7">
        <w:rPr>
          <w:rFonts w:ascii="Times New Roman" w:hAnsi="Times New Roman"/>
        </w:rPr>
        <w:t xml:space="preserve">Using predetermined fixed pairs of SRS resources should have limited spec impact and no performance loss, although there may be some loss in UE design flexibility </w:t>
      </w:r>
    </w:p>
    <w:p w14:paraId="6A4A9BD3" w14:textId="77777777" w:rsidR="0003730C" w:rsidRPr="00E10CE7" w:rsidRDefault="0003730C" w:rsidP="00E10CE7">
      <w:pPr>
        <w:pStyle w:val="ListParagraph"/>
        <w:numPr>
          <w:ilvl w:val="0"/>
          <w:numId w:val="37"/>
        </w:numPr>
        <w:spacing w:after="180" w:line="256" w:lineRule="auto"/>
        <w:contextualSpacing/>
        <w:jc w:val="both"/>
        <w:rPr>
          <w:rFonts w:ascii="Times New Roman" w:hAnsi="Times New Roman"/>
        </w:rPr>
      </w:pPr>
      <w:r w:rsidRPr="00E10CE7">
        <w:rPr>
          <w:rFonts w:ascii="Times New Roman" w:hAnsi="Times New Roman"/>
        </w:rPr>
        <w:t xml:space="preserve">Signaling combinations of possible SRS resources is conceptually simple, and fully flexible, but requires new RRC </w:t>
      </w:r>
      <w:proofErr w:type="spellStart"/>
      <w:r w:rsidRPr="00E10CE7">
        <w:rPr>
          <w:rFonts w:ascii="Times New Roman" w:hAnsi="Times New Roman"/>
        </w:rPr>
        <w:t>signalling</w:t>
      </w:r>
      <w:proofErr w:type="spellEnd"/>
      <w:r w:rsidRPr="00E10CE7">
        <w:rPr>
          <w:rFonts w:ascii="Times New Roman" w:hAnsi="Times New Roman"/>
        </w:rPr>
        <w:t xml:space="preserve"> at a late stage in Rel-15.</w:t>
      </w:r>
    </w:p>
    <w:p w14:paraId="7FA251EE" w14:textId="638FEE03" w:rsidR="00943A3A" w:rsidRPr="00764D47" w:rsidRDefault="00943A3A" w:rsidP="00E10CE7">
      <w:pPr>
        <w:jc w:val="both"/>
      </w:pPr>
      <w:r>
        <w:t>Moreover, at this stage in Rel-15, given that it is feasible</w:t>
      </w:r>
      <w:r w:rsidR="00676BE8" w:rsidRPr="00676BE8">
        <w:t xml:space="preserve"> </w:t>
      </w:r>
      <w:r w:rsidR="00676BE8">
        <w:t>to use implementation to determine which SRS resources can be transmitted simultaneously,</w:t>
      </w:r>
      <w:r>
        <w:t xml:space="preserve"> although not necessarily efficient or with the best performance, </w:t>
      </w:r>
      <w:r w:rsidRPr="00764D47">
        <w:t>we propose:</w:t>
      </w:r>
    </w:p>
    <w:p w14:paraId="42A3F83D" w14:textId="34770368" w:rsidR="0003730C" w:rsidRPr="00764D47" w:rsidRDefault="0003730C" w:rsidP="00E10CE7">
      <w:pPr>
        <w:spacing w:after="0"/>
        <w:jc w:val="both"/>
      </w:pPr>
      <w:r w:rsidRPr="00764D47">
        <w:rPr>
          <w:b/>
        </w:rPr>
        <w:lastRenderedPageBreak/>
        <w:t xml:space="preserve">Proposal </w:t>
      </w:r>
      <w:r w:rsidR="00773D8F">
        <w:rPr>
          <w:b/>
        </w:rPr>
        <w:t>5</w:t>
      </w:r>
      <w:r w:rsidRPr="00764D47">
        <w:t>:</w:t>
      </w:r>
    </w:p>
    <w:p w14:paraId="27770F8F" w14:textId="77777777" w:rsidR="0003730C" w:rsidRPr="00E10CE7" w:rsidRDefault="0003730C" w:rsidP="00E10CE7">
      <w:pPr>
        <w:pStyle w:val="ListParagraph"/>
        <w:numPr>
          <w:ilvl w:val="0"/>
          <w:numId w:val="38"/>
        </w:numPr>
        <w:spacing w:after="180" w:line="256" w:lineRule="auto"/>
        <w:contextualSpacing/>
        <w:jc w:val="both"/>
        <w:rPr>
          <w:rFonts w:ascii="Times New Roman" w:hAnsi="Times New Roman"/>
        </w:rPr>
      </w:pPr>
      <w:r w:rsidRPr="00E10CE7">
        <w:rPr>
          <w:rFonts w:ascii="Times New Roman" w:hAnsi="Times New Roman"/>
        </w:rPr>
        <w:t>UEs are not restricted from transmitting more SRS resources than they can transmit simultaneously, as this restriction could preclude PUSCH antenna selection via SRI.</w:t>
      </w:r>
    </w:p>
    <w:p w14:paraId="1D9C9ACC" w14:textId="7891502E" w:rsidR="0003730C" w:rsidRPr="00E10CE7" w:rsidRDefault="00433666" w:rsidP="00E10CE7">
      <w:pPr>
        <w:pStyle w:val="ListParagraph"/>
        <w:numPr>
          <w:ilvl w:val="0"/>
          <w:numId w:val="38"/>
        </w:numPr>
        <w:spacing w:after="180" w:line="256" w:lineRule="auto"/>
        <w:contextualSpacing/>
        <w:jc w:val="both"/>
        <w:rPr>
          <w:rFonts w:ascii="Times New Roman" w:hAnsi="Times New Roman"/>
        </w:rPr>
      </w:pPr>
      <w:r>
        <w:rPr>
          <w:rFonts w:ascii="Times New Roman" w:hAnsi="Times New Roman"/>
          <w:lang w:val="en-US"/>
        </w:rPr>
        <w:t xml:space="preserve">In Rel-15, </w:t>
      </w:r>
      <w:proofErr w:type="spellStart"/>
      <w:r>
        <w:rPr>
          <w:rFonts w:ascii="Times New Roman" w:hAnsi="Times New Roman"/>
          <w:lang w:val="en-US"/>
        </w:rPr>
        <w:t>w</w:t>
      </w:r>
      <w:r w:rsidR="0003730C" w:rsidRPr="00E10CE7">
        <w:rPr>
          <w:rFonts w:ascii="Times New Roman" w:hAnsi="Times New Roman"/>
        </w:rPr>
        <w:t>hen</w:t>
      </w:r>
      <w:proofErr w:type="spellEnd"/>
      <w:r w:rsidR="0003730C" w:rsidRPr="00E10CE7">
        <w:rPr>
          <w:rFonts w:ascii="Times New Roman" w:hAnsi="Times New Roman"/>
        </w:rPr>
        <w:t xml:space="preserve"> the UE is configured with more SRS resources than SRS or PUSCH layers that it can simultaneously transmit, </w:t>
      </w:r>
      <w:r w:rsidR="00943A3A" w:rsidRPr="00E10CE7">
        <w:rPr>
          <w:rFonts w:ascii="Times New Roman" w:hAnsi="Times New Roman"/>
          <w:lang w:val="en-US"/>
        </w:rPr>
        <w:t xml:space="preserve">it is left to </w:t>
      </w:r>
      <w:r w:rsidR="00676BE8">
        <w:rPr>
          <w:rFonts w:ascii="Times New Roman" w:hAnsi="Times New Roman"/>
          <w:lang w:val="en-US"/>
        </w:rPr>
        <w:t xml:space="preserve">gNB </w:t>
      </w:r>
      <w:r w:rsidR="00943A3A" w:rsidRPr="00E10CE7">
        <w:rPr>
          <w:rFonts w:ascii="Times New Roman" w:hAnsi="Times New Roman"/>
          <w:lang w:val="en-US"/>
        </w:rPr>
        <w:t>implementation how to determine which SRS resources can be transmitted simultaneously</w:t>
      </w:r>
      <w:r w:rsidR="0003730C" w:rsidRPr="00E10CE7">
        <w:rPr>
          <w:rFonts w:ascii="Times New Roman" w:hAnsi="Times New Roman"/>
        </w:rPr>
        <w:t>.</w:t>
      </w:r>
    </w:p>
    <w:p w14:paraId="5300F849" w14:textId="77777777" w:rsidR="00C01F33" w:rsidRPr="00CE0424" w:rsidRDefault="00C01F33" w:rsidP="00CE0424">
      <w:pPr>
        <w:pStyle w:val="Heading1"/>
      </w:pPr>
      <w:r w:rsidRPr="00CE0424">
        <w:t>Conclusion</w:t>
      </w:r>
    </w:p>
    <w:p w14:paraId="2B120BEC" w14:textId="40D82CA8" w:rsidR="00707EA8" w:rsidRPr="00B468F7" w:rsidRDefault="00747370" w:rsidP="00331E66">
      <w:pPr>
        <w:pStyle w:val="BodyText"/>
      </w:pPr>
      <w:r w:rsidRPr="00747370">
        <w:t xml:space="preserve">This contribution </w:t>
      </w:r>
      <w:r>
        <w:t xml:space="preserve">has considered </w:t>
      </w:r>
      <w:r w:rsidRPr="00747370">
        <w:t>remaining corrections needed for uplink multi-antenna transmission, including corrections for uplink port mapping, the need for a switching gap for codebook based and non-</w:t>
      </w:r>
      <w:proofErr w:type="gramStart"/>
      <w:r w:rsidRPr="00747370">
        <w:t>codebook based</w:t>
      </w:r>
      <w:proofErr w:type="gramEnd"/>
      <w:r w:rsidRPr="00747370">
        <w:t xml:space="preserve"> transmission, and which SRS resources can be transmitted simultaneously.  Corrections for power scaling for PUSCH and SRS with UL MIMO that are discussed in a companion paper [1] </w:t>
      </w:r>
      <w:r>
        <w:t xml:space="preserve">were also </w:t>
      </w:r>
      <w:r w:rsidRPr="00747370">
        <w:t xml:space="preserve">introduced. </w:t>
      </w:r>
      <w:r w:rsidR="00707EA8" w:rsidRPr="00B468F7">
        <w:t xml:space="preserve">Based on the discussion, we made the following </w:t>
      </w:r>
      <w:proofErr w:type="gramStart"/>
      <w:r w:rsidR="00707EA8" w:rsidRPr="00B468F7">
        <w:t>high level</w:t>
      </w:r>
      <w:proofErr w:type="gramEnd"/>
      <w:r w:rsidR="00707EA8" w:rsidRPr="00B468F7">
        <w:t xml:space="preserve"> proposals.</w:t>
      </w:r>
      <w:r w:rsidR="000F3D76" w:rsidRPr="00B468F7">
        <w:t xml:space="preserve">  Corresponding text proposals are given </w:t>
      </w:r>
      <w:r w:rsidR="00D45354" w:rsidRPr="00B468F7">
        <w:t xml:space="preserve">with the </w:t>
      </w:r>
      <w:proofErr w:type="gramStart"/>
      <w:r w:rsidR="00D45354" w:rsidRPr="00B468F7">
        <w:t>high level</w:t>
      </w:r>
      <w:proofErr w:type="gramEnd"/>
      <w:r w:rsidR="00D45354" w:rsidRPr="00B468F7">
        <w:t xml:space="preserve"> proposals </w:t>
      </w:r>
      <w:r w:rsidR="006419B3" w:rsidRPr="00B468F7">
        <w:t>in section 2</w:t>
      </w:r>
      <w:r w:rsidR="00D45354" w:rsidRPr="00B468F7">
        <w:t>.</w:t>
      </w:r>
    </w:p>
    <w:p w14:paraId="71360C68" w14:textId="77777777" w:rsidR="00747370" w:rsidRDefault="00747370" w:rsidP="000E3DEC">
      <w:pPr>
        <w:spacing w:after="0"/>
        <w:rPr>
          <w:b/>
        </w:rPr>
      </w:pPr>
    </w:p>
    <w:p w14:paraId="231F1144" w14:textId="4035F648" w:rsidR="00511BA8" w:rsidRPr="00B468F7" w:rsidRDefault="00511BA8" w:rsidP="000E3DEC">
      <w:pPr>
        <w:spacing w:after="0"/>
      </w:pPr>
      <w:r w:rsidRPr="00B468F7">
        <w:rPr>
          <w:b/>
        </w:rPr>
        <w:t>Proposal 1</w:t>
      </w:r>
      <w:r w:rsidRPr="00B468F7">
        <w:t>:</w:t>
      </w:r>
    </w:p>
    <w:p w14:paraId="79E62D0D" w14:textId="04606473" w:rsidR="00511BA8" w:rsidRPr="00E10CE7" w:rsidRDefault="00033F38" w:rsidP="00511BA8">
      <w:pPr>
        <w:pStyle w:val="ListParagraph"/>
        <w:numPr>
          <w:ilvl w:val="0"/>
          <w:numId w:val="27"/>
        </w:numPr>
        <w:rPr>
          <w:rFonts w:ascii="Times New Roman" w:hAnsi="Times New Roman"/>
          <w:lang w:val="en-GB"/>
        </w:rPr>
      </w:pPr>
      <w:r w:rsidRPr="00E10CE7">
        <w:rPr>
          <w:rFonts w:ascii="Times New Roman" w:hAnsi="Times New Roman"/>
          <w:lang w:val="en-GB"/>
        </w:rPr>
        <w:t>Clarify that antenna ports starting with 0 carry PUSCH DMRS and those starting with 1000 carry either or both of SRS and PUSCH, as given in text proposal 1 above.</w:t>
      </w:r>
    </w:p>
    <w:p w14:paraId="4117A04D" w14:textId="77777777" w:rsidR="00511BA8" w:rsidRPr="00B468F7" w:rsidRDefault="00511BA8" w:rsidP="006E1C82">
      <w:pPr>
        <w:pStyle w:val="BodyText"/>
        <w:rPr>
          <w:b/>
          <w:bCs/>
        </w:rPr>
      </w:pPr>
    </w:p>
    <w:p w14:paraId="163ADB13" w14:textId="4ED832A3" w:rsidR="00707EA8" w:rsidRPr="00B468F7" w:rsidRDefault="00707EA8" w:rsidP="00707EA8">
      <w:pPr>
        <w:spacing w:after="0"/>
        <w:rPr>
          <w:b/>
        </w:rPr>
      </w:pPr>
      <w:r w:rsidRPr="00B468F7">
        <w:rPr>
          <w:b/>
        </w:rPr>
        <w:t xml:space="preserve">Proposal </w:t>
      </w:r>
      <w:r w:rsidR="00260D12" w:rsidRPr="00B468F7">
        <w:rPr>
          <w:b/>
        </w:rPr>
        <w:t>2</w:t>
      </w:r>
      <w:r w:rsidRPr="00B468F7">
        <w:rPr>
          <w:b/>
        </w:rPr>
        <w:t>:</w:t>
      </w:r>
    </w:p>
    <w:p w14:paraId="6AF31A07" w14:textId="7C0488CF" w:rsidR="00707EA8" w:rsidRPr="00B468F7" w:rsidRDefault="00B85C93" w:rsidP="006C2404">
      <w:pPr>
        <w:numPr>
          <w:ilvl w:val="0"/>
          <w:numId w:val="29"/>
        </w:numPr>
        <w:spacing w:after="0"/>
        <w:contextualSpacing/>
      </w:pPr>
      <w:r w:rsidRPr="00B468F7">
        <w:rPr>
          <w:rFonts w:eastAsiaTheme="minorEastAsia"/>
        </w:rPr>
        <w:t xml:space="preserve">Tie the SRI to the PUSCH layers </w:t>
      </w:r>
      <m:oMath>
        <m:r>
          <w:rPr>
            <w:rFonts w:ascii="Cambria Math" w:hAnsi="Cambria Math"/>
          </w:rPr>
          <m:t>0..ν-1</m:t>
        </m:r>
      </m:oMath>
      <w:r w:rsidRPr="00B468F7">
        <w:rPr>
          <w:rFonts w:eastAsiaTheme="minorEastAsia"/>
        </w:rPr>
        <w:t xml:space="preserve">, in addition to DMRS ports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eastAsiaTheme="minorEastAsia" w:hAnsi="Cambria Math"/>
                  </w:rPr>
                  <m:t>p</m:t>
                </m:r>
              </m:e>
            </m:acc>
          </m:e>
          <m:sub>
            <m:r>
              <w:rPr>
                <w:rFonts w:ascii="Cambria Math" w:eastAsiaTheme="minorEastAsia" w:hAnsi="Cambria Math"/>
              </w:rPr>
              <m:t>ν-1</m:t>
            </m:r>
          </m:sub>
        </m:sSub>
      </m:oMath>
      <w:r w:rsidRPr="00B468F7">
        <w:rPr>
          <w:rFonts w:eastAsiaTheme="minorEastAsia"/>
        </w:rPr>
        <w:t>, as given in text proposal 2 above.</w:t>
      </w:r>
    </w:p>
    <w:p w14:paraId="4FDAC16A" w14:textId="77777777" w:rsidR="00707EA8" w:rsidRPr="00B468F7" w:rsidRDefault="00707EA8" w:rsidP="00511BA8">
      <w:pPr>
        <w:spacing w:after="0"/>
        <w:rPr>
          <w:b/>
        </w:rPr>
      </w:pPr>
    </w:p>
    <w:p w14:paraId="426D7E31" w14:textId="5608D283" w:rsidR="00511BA8" w:rsidRPr="00B468F7" w:rsidRDefault="00511BA8" w:rsidP="00511BA8">
      <w:pPr>
        <w:spacing w:after="0"/>
        <w:rPr>
          <w:b/>
        </w:rPr>
      </w:pPr>
      <w:r w:rsidRPr="00B468F7">
        <w:rPr>
          <w:b/>
        </w:rPr>
        <w:t xml:space="preserve">Proposal </w:t>
      </w:r>
      <w:r w:rsidR="00260D12" w:rsidRPr="00B468F7">
        <w:rPr>
          <w:b/>
        </w:rPr>
        <w:t>3</w:t>
      </w:r>
      <w:r w:rsidRPr="00B468F7">
        <w:rPr>
          <w:b/>
        </w:rPr>
        <w:t xml:space="preserve"> (for agenda item 7.1.5)</w:t>
      </w:r>
    </w:p>
    <w:p w14:paraId="7D8EFDEE" w14:textId="7BDA34FF" w:rsidR="00511BA8" w:rsidRPr="00B468F7" w:rsidRDefault="00511BA8" w:rsidP="006C2404">
      <w:pPr>
        <w:numPr>
          <w:ilvl w:val="0"/>
          <w:numId w:val="29"/>
        </w:numPr>
        <w:spacing w:after="0"/>
        <w:contextualSpacing/>
      </w:pPr>
      <w:r w:rsidRPr="00B468F7">
        <w:t xml:space="preserve">Clarify Rel-15 NR PUSCH </w:t>
      </w:r>
      <w:r w:rsidR="00E40410" w:rsidRPr="00B468F7">
        <w:t xml:space="preserve">and SRS </w:t>
      </w:r>
      <w:r w:rsidRPr="00B468F7">
        <w:t>power scaling specifications such that per-PA full power capacity for all PAs in the UE is not required for any MIMO UE capability</w:t>
      </w:r>
    </w:p>
    <w:p w14:paraId="5202EBE4" w14:textId="77777777" w:rsidR="004105CD" w:rsidRPr="00B468F7" w:rsidRDefault="004105CD" w:rsidP="00511BA8">
      <w:pPr>
        <w:spacing w:after="0"/>
        <w:contextualSpacing/>
        <w:rPr>
          <w:b/>
          <w:bCs/>
        </w:rPr>
      </w:pPr>
    </w:p>
    <w:p w14:paraId="4478A645" w14:textId="066D9B46" w:rsidR="00511BA8" w:rsidRPr="00B468F7" w:rsidRDefault="00511BA8" w:rsidP="00511BA8">
      <w:pPr>
        <w:spacing w:after="0"/>
        <w:contextualSpacing/>
        <w:rPr>
          <w:b/>
          <w:lang w:eastAsia="zh-CN"/>
        </w:rPr>
      </w:pPr>
      <w:r w:rsidRPr="00B468F7">
        <w:rPr>
          <w:b/>
          <w:lang w:eastAsia="zh-CN"/>
        </w:rPr>
        <w:t xml:space="preserve">Proposal </w:t>
      </w:r>
      <w:r w:rsidR="00260D12" w:rsidRPr="00B468F7">
        <w:rPr>
          <w:b/>
          <w:lang w:eastAsia="zh-CN"/>
        </w:rPr>
        <w:t>4</w:t>
      </w:r>
      <w:r w:rsidRPr="00B468F7">
        <w:rPr>
          <w:b/>
          <w:lang w:eastAsia="zh-CN"/>
        </w:rPr>
        <w:t>:</w:t>
      </w:r>
    </w:p>
    <w:p w14:paraId="638F832D" w14:textId="31EA5469" w:rsidR="00511BA8" w:rsidRPr="00B468F7" w:rsidRDefault="00BC429F" w:rsidP="00511BA8">
      <w:pPr>
        <w:numPr>
          <w:ilvl w:val="0"/>
          <w:numId w:val="29"/>
        </w:numPr>
        <w:spacing w:after="0"/>
        <w:contextualSpacing/>
        <w:rPr>
          <w:rFonts w:eastAsia="Calibri"/>
          <w:lang w:eastAsia="zh-CN"/>
        </w:rPr>
      </w:pPr>
      <w:r w:rsidRPr="00B468F7">
        <w:t>Existing mechanisms are used to compensate for antenna switching losses in Rel-15, unless substantial performance losses cannot be avoided.</w:t>
      </w:r>
    </w:p>
    <w:p w14:paraId="64A91790" w14:textId="77777777" w:rsidR="004105CD" w:rsidRPr="00B468F7" w:rsidRDefault="004105CD" w:rsidP="00511BA8">
      <w:pPr>
        <w:spacing w:after="0"/>
        <w:rPr>
          <w:b/>
          <w:lang w:eastAsia="zh-CN"/>
        </w:rPr>
      </w:pPr>
    </w:p>
    <w:p w14:paraId="497EAFAE" w14:textId="0F5E0358" w:rsidR="00511BA8" w:rsidRPr="00B468F7" w:rsidRDefault="00511BA8" w:rsidP="00511BA8">
      <w:pPr>
        <w:spacing w:after="0"/>
      </w:pPr>
      <w:r w:rsidRPr="00B468F7">
        <w:rPr>
          <w:b/>
        </w:rPr>
        <w:t xml:space="preserve">Proposal </w:t>
      </w:r>
      <w:r w:rsidR="00773D8F">
        <w:rPr>
          <w:b/>
        </w:rPr>
        <w:t>5</w:t>
      </w:r>
      <w:r w:rsidRPr="00B468F7">
        <w:t>:</w:t>
      </w:r>
    </w:p>
    <w:p w14:paraId="1C26903D" w14:textId="77777777" w:rsidR="00511BA8" w:rsidRPr="00E10CE7" w:rsidRDefault="00511BA8" w:rsidP="00511BA8">
      <w:pPr>
        <w:pStyle w:val="ListParagraph"/>
        <w:numPr>
          <w:ilvl w:val="0"/>
          <w:numId w:val="38"/>
        </w:numPr>
        <w:spacing w:after="180" w:line="256" w:lineRule="auto"/>
        <w:contextualSpacing/>
        <w:rPr>
          <w:rFonts w:ascii="Times New Roman" w:hAnsi="Times New Roman"/>
        </w:rPr>
      </w:pPr>
      <w:r w:rsidRPr="00E10CE7">
        <w:rPr>
          <w:rFonts w:ascii="Times New Roman" w:hAnsi="Times New Roman"/>
        </w:rPr>
        <w:t>UEs are not restricted from transmitting more SRS resources than they can transmit simultaneously, as this restriction could preclude PUSCH antenna selection via SRI.</w:t>
      </w:r>
    </w:p>
    <w:p w14:paraId="0E782877" w14:textId="033B8233" w:rsidR="00511BA8" w:rsidRPr="000672F6" w:rsidRDefault="00433666" w:rsidP="00433666">
      <w:pPr>
        <w:pStyle w:val="ListParagraph"/>
        <w:numPr>
          <w:ilvl w:val="0"/>
          <w:numId w:val="38"/>
        </w:numPr>
        <w:spacing w:after="180" w:line="256" w:lineRule="auto"/>
        <w:contextualSpacing/>
        <w:rPr>
          <w:rFonts w:ascii="Times New Roman" w:hAnsi="Times New Roman"/>
          <w:sz w:val="20"/>
        </w:rPr>
      </w:pPr>
      <w:r w:rsidRPr="00E10CE7">
        <w:rPr>
          <w:rFonts w:ascii="Times New Roman" w:hAnsi="Times New Roman"/>
          <w:lang w:val="en-US"/>
        </w:rPr>
        <w:t xml:space="preserve">In Rel-15, </w:t>
      </w:r>
      <w:proofErr w:type="spellStart"/>
      <w:r w:rsidRPr="00E10CE7">
        <w:rPr>
          <w:rFonts w:ascii="Times New Roman" w:hAnsi="Times New Roman"/>
          <w:lang w:val="en-US"/>
        </w:rPr>
        <w:t>w</w:t>
      </w:r>
      <w:r w:rsidR="00511BA8" w:rsidRPr="00E10CE7">
        <w:rPr>
          <w:rFonts w:ascii="Times New Roman" w:hAnsi="Times New Roman"/>
        </w:rPr>
        <w:t>hen</w:t>
      </w:r>
      <w:proofErr w:type="spellEnd"/>
      <w:r w:rsidR="00511BA8" w:rsidRPr="00E10CE7">
        <w:rPr>
          <w:rFonts w:ascii="Times New Roman" w:hAnsi="Times New Roman"/>
        </w:rPr>
        <w:t xml:space="preserve"> the UE is configured with more SRS resources than SRS or PUSCH layers that it can simultaneously transmit, </w:t>
      </w:r>
      <w:r w:rsidRPr="00E10CE7">
        <w:rPr>
          <w:rFonts w:ascii="Times New Roman" w:hAnsi="Times New Roman"/>
        </w:rPr>
        <w:t>it is left to gNB implementation how to determine which SRS resources can be transmitted simultaneously</w:t>
      </w:r>
      <w:r w:rsidRPr="00E10CE7">
        <w:rPr>
          <w:rFonts w:ascii="Times New Roman" w:hAnsi="Times New Roman"/>
          <w:lang w:val="en-US"/>
        </w:rPr>
        <w:t>.</w:t>
      </w:r>
    </w:p>
    <w:p w14:paraId="4EE0FCEB" w14:textId="77777777" w:rsidR="0019705D" w:rsidRPr="00CE0424" w:rsidRDefault="0019705D" w:rsidP="0019705D">
      <w:pPr>
        <w:pStyle w:val="Heading1"/>
      </w:pPr>
      <w:bookmarkStart w:id="5" w:name="_In-sequence_SDU_delivery"/>
      <w:bookmarkEnd w:id="5"/>
      <w:r w:rsidRPr="00CE0424">
        <w:t>References</w:t>
      </w:r>
    </w:p>
    <w:p w14:paraId="28539B0A" w14:textId="6A85DFE5" w:rsidR="0019705D" w:rsidRPr="00E10CE7" w:rsidRDefault="0019705D" w:rsidP="00FE7AF0">
      <w:pPr>
        <w:pStyle w:val="references"/>
        <w:rPr>
          <w:sz w:val="20"/>
          <w:szCs w:val="20"/>
        </w:rPr>
      </w:pPr>
      <w:bookmarkStart w:id="6" w:name="_Ref510821136"/>
      <w:bookmarkStart w:id="7" w:name="_Ref521686428"/>
      <w:r w:rsidRPr="00E10CE7">
        <w:rPr>
          <w:sz w:val="20"/>
          <w:szCs w:val="20"/>
        </w:rPr>
        <w:t>R1-</w:t>
      </w:r>
      <w:r w:rsidR="009A3B15" w:rsidRPr="00E10CE7">
        <w:rPr>
          <w:sz w:val="20"/>
          <w:szCs w:val="20"/>
        </w:rPr>
        <w:t>1811498</w:t>
      </w:r>
      <w:r w:rsidR="009A3B15" w:rsidRPr="00E10CE7" w:rsidDel="009A3B15">
        <w:rPr>
          <w:sz w:val="20"/>
          <w:szCs w:val="20"/>
        </w:rPr>
        <w:t xml:space="preserve"> </w:t>
      </w:r>
      <w:r w:rsidRPr="00E10CE7">
        <w:rPr>
          <w:sz w:val="20"/>
          <w:szCs w:val="20"/>
        </w:rPr>
        <w:t>, “PUSCH power scaling in UL power control”, Ericsson, 3GPP TSG RAN WG1 #9</w:t>
      </w:r>
      <w:bookmarkEnd w:id="6"/>
      <w:r w:rsidR="00C74E23" w:rsidRPr="00E10CE7">
        <w:rPr>
          <w:sz w:val="20"/>
          <w:szCs w:val="20"/>
        </w:rPr>
        <w:t>4</w:t>
      </w:r>
      <w:r w:rsidR="00FE7AF0" w:rsidRPr="00E10CE7">
        <w:rPr>
          <w:sz w:val="20"/>
          <w:szCs w:val="20"/>
        </w:rPr>
        <w:t>bis</w:t>
      </w:r>
      <w:r w:rsidR="00C74E23" w:rsidRPr="00E10CE7">
        <w:rPr>
          <w:sz w:val="20"/>
          <w:szCs w:val="20"/>
        </w:rPr>
        <w:t xml:space="preserve">, </w:t>
      </w:r>
      <w:r w:rsidR="00FE7AF0" w:rsidRPr="00FE7AF0">
        <w:rPr>
          <w:sz w:val="20"/>
          <w:szCs w:val="20"/>
        </w:rPr>
        <w:t>Chengdu, China, October 8</w:t>
      </w:r>
      <w:r w:rsidR="00FE7AF0">
        <w:rPr>
          <w:sz w:val="20"/>
          <w:szCs w:val="20"/>
        </w:rPr>
        <w:t>-</w:t>
      </w:r>
      <w:r w:rsidR="00FE7AF0" w:rsidRPr="00FE7AF0">
        <w:rPr>
          <w:sz w:val="20"/>
          <w:szCs w:val="20"/>
        </w:rPr>
        <w:t xml:space="preserve">12, 2018 </w:t>
      </w:r>
      <w:bookmarkEnd w:id="7"/>
    </w:p>
    <w:p w14:paraId="05D7EDFC" w14:textId="0B0CC4C4" w:rsidR="005F55E6" w:rsidRPr="00E10CE7" w:rsidRDefault="005F55E6" w:rsidP="00FE7AF0">
      <w:pPr>
        <w:pStyle w:val="references"/>
        <w:rPr>
          <w:sz w:val="20"/>
          <w:szCs w:val="20"/>
        </w:rPr>
      </w:pPr>
      <w:bookmarkStart w:id="8" w:name="_Ref521689248"/>
      <w:bookmarkStart w:id="9" w:name="_Ref513803471"/>
      <w:r w:rsidRPr="00E10CE7">
        <w:rPr>
          <w:sz w:val="20"/>
          <w:szCs w:val="20"/>
        </w:rPr>
        <w:t>R1-</w:t>
      </w:r>
      <w:r w:rsidR="009A3B15" w:rsidRPr="00E10CE7">
        <w:rPr>
          <w:sz w:val="20"/>
          <w:szCs w:val="20"/>
        </w:rPr>
        <w:t>1811499</w:t>
      </w:r>
      <w:r w:rsidR="009A3B15" w:rsidRPr="00E10CE7" w:rsidDel="009A3B15">
        <w:rPr>
          <w:sz w:val="20"/>
          <w:szCs w:val="20"/>
        </w:rPr>
        <w:t xml:space="preserve"> </w:t>
      </w:r>
      <w:r w:rsidRPr="00E10CE7">
        <w:rPr>
          <w:sz w:val="20"/>
          <w:szCs w:val="20"/>
        </w:rPr>
        <w:t>, “</w:t>
      </w:r>
      <w:r w:rsidR="000F0944" w:rsidRPr="00E10CE7">
        <w:rPr>
          <w:sz w:val="20"/>
          <w:szCs w:val="20"/>
        </w:rPr>
        <w:t>SRS</w:t>
      </w:r>
      <w:r w:rsidRPr="00E10CE7">
        <w:rPr>
          <w:sz w:val="20"/>
          <w:szCs w:val="20"/>
        </w:rPr>
        <w:t xml:space="preserve"> power scaling in UL power control”, Ericsson, 3GPP TSG RAN WG1 #94</w:t>
      </w:r>
      <w:r w:rsidR="00FE7AF0" w:rsidRPr="00E10CE7">
        <w:rPr>
          <w:sz w:val="20"/>
          <w:szCs w:val="20"/>
        </w:rPr>
        <w:t>bis</w:t>
      </w:r>
      <w:r w:rsidRPr="00E10CE7">
        <w:rPr>
          <w:sz w:val="20"/>
          <w:szCs w:val="20"/>
        </w:rPr>
        <w:t xml:space="preserve">, </w:t>
      </w:r>
      <w:r w:rsidR="00FE7AF0" w:rsidRPr="00FE7AF0">
        <w:rPr>
          <w:sz w:val="20"/>
          <w:szCs w:val="20"/>
        </w:rPr>
        <w:t>Chengdu, China, October 8</w:t>
      </w:r>
      <w:r w:rsidR="00FE7AF0">
        <w:rPr>
          <w:sz w:val="20"/>
          <w:szCs w:val="20"/>
        </w:rPr>
        <w:t>-</w:t>
      </w:r>
      <w:r w:rsidR="00FE7AF0" w:rsidRPr="00FE7AF0">
        <w:rPr>
          <w:sz w:val="20"/>
          <w:szCs w:val="20"/>
        </w:rPr>
        <w:t xml:space="preserve">12, 2018 </w:t>
      </w:r>
      <w:bookmarkEnd w:id="8"/>
    </w:p>
    <w:p w14:paraId="47E34BEF" w14:textId="77777777" w:rsidR="00A01FA7" w:rsidRPr="00A546BC" w:rsidRDefault="00A01FA7" w:rsidP="00805EF3">
      <w:pPr>
        <w:pStyle w:val="references"/>
        <w:rPr>
          <w:sz w:val="20"/>
          <w:szCs w:val="20"/>
        </w:rPr>
      </w:pPr>
      <w:bookmarkStart w:id="10" w:name="_Ref521685800"/>
      <w:bookmarkStart w:id="11" w:name="_Hlk510823860"/>
      <w:bookmarkStart w:id="12" w:name="_Ref506546563"/>
      <w:bookmarkStart w:id="13" w:name="_Ref510820185"/>
      <w:bookmarkEnd w:id="9"/>
      <w:r w:rsidRPr="00A546BC">
        <w:rPr>
          <w:sz w:val="20"/>
          <w:szCs w:val="20"/>
        </w:rPr>
        <w:t>R1-1807267, “PUSCH power scaling in UL power control”, Ericsson, 3GPP TSG RAN WG1 #93, Busan, Korea, May 21-25, 2018</w:t>
      </w:r>
      <w:bookmarkEnd w:id="10"/>
    </w:p>
    <w:p w14:paraId="75E4E816" w14:textId="77777777" w:rsidR="00A01FA7" w:rsidRPr="000672F6" w:rsidRDefault="00A01FA7" w:rsidP="00A01FA7">
      <w:pPr>
        <w:pStyle w:val="references"/>
        <w:rPr>
          <w:sz w:val="20"/>
          <w:szCs w:val="20"/>
        </w:rPr>
      </w:pPr>
      <w:bookmarkStart w:id="14" w:name="_Ref513761386"/>
      <w:bookmarkEnd w:id="11"/>
      <w:r w:rsidRPr="000672F6">
        <w:rPr>
          <w:sz w:val="20"/>
          <w:szCs w:val="20"/>
        </w:rPr>
        <w:t>R1-1803411, “Summary of issues on UL non-codebook based transmission”, Nokia, Nokia Shanghai Bell</w:t>
      </w:r>
      <w:bookmarkEnd w:id="12"/>
      <w:r w:rsidRPr="000672F6">
        <w:rPr>
          <w:sz w:val="20"/>
          <w:szCs w:val="20"/>
        </w:rPr>
        <w:t>, 3GPP TSG RAN WG1 #92, Athens, Greece, February 26– March 2, 2018</w:t>
      </w:r>
      <w:bookmarkEnd w:id="13"/>
      <w:bookmarkEnd w:id="14"/>
    </w:p>
    <w:p w14:paraId="69A89325" w14:textId="77777777" w:rsidR="00A01FA7" w:rsidRPr="000672F6" w:rsidRDefault="00A01FA7" w:rsidP="00A01FA7">
      <w:pPr>
        <w:pStyle w:val="references"/>
        <w:rPr>
          <w:sz w:val="20"/>
          <w:szCs w:val="20"/>
        </w:rPr>
      </w:pPr>
      <w:bookmarkStart w:id="15" w:name="_Ref513735171"/>
      <w:r w:rsidRPr="000672F6">
        <w:rPr>
          <w:sz w:val="20"/>
          <w:szCs w:val="20"/>
        </w:rPr>
        <w:lastRenderedPageBreak/>
        <w:t>R1-1805549, “FL Summary of issues on UL non-codebook based transmission”, Nokia, Nokia Shanghai Bell, 3GPP TSG RAN WG1 #92bis, Sanya, China, April 16-20, 2018</w:t>
      </w:r>
      <w:bookmarkEnd w:id="15"/>
    </w:p>
    <w:p w14:paraId="742FBFD0" w14:textId="1FD6D7B3" w:rsidR="00A01FA7" w:rsidRPr="004D4C96" w:rsidRDefault="00B665F7" w:rsidP="00B665F7">
      <w:pPr>
        <w:pStyle w:val="references"/>
        <w:rPr>
          <w:sz w:val="20"/>
          <w:szCs w:val="20"/>
        </w:rPr>
      </w:pPr>
      <w:bookmarkStart w:id="16" w:name="_Ref521687755"/>
      <w:r w:rsidRPr="00B665F7">
        <w:rPr>
          <w:sz w:val="20"/>
          <w:szCs w:val="20"/>
        </w:rPr>
        <w:t>RP-181453, “WI Proposal on NR MIMO Enhancements”, Samsung, 3GPP TSG RAN Meeting #80</w:t>
      </w:r>
      <w:bookmarkEnd w:id="16"/>
    </w:p>
    <w:p w14:paraId="7F7FFA96" w14:textId="193C4C29" w:rsidR="00101813" w:rsidRPr="00E10CE7" w:rsidRDefault="00101813" w:rsidP="00101813">
      <w:pPr>
        <w:pStyle w:val="references"/>
        <w:rPr>
          <w:sz w:val="20"/>
          <w:szCs w:val="20"/>
        </w:rPr>
      </w:pPr>
      <w:bookmarkStart w:id="17" w:name="_Ref525914821"/>
      <w:r w:rsidRPr="00101813">
        <w:rPr>
          <w:sz w:val="20"/>
          <w:szCs w:val="20"/>
        </w:rPr>
        <w:t>R1-1810053</w:t>
      </w:r>
      <w:r w:rsidRPr="00E10CE7">
        <w:rPr>
          <w:sz w:val="20"/>
          <w:szCs w:val="20"/>
        </w:rPr>
        <w:t>, “Reply LS on adjacent TDM combinations of SRS for antenna switching and other UL physical channels”, RAN4, 3GPP TSG RAN WG1 #94bis, Chengdu, China, October 8-12, 2018</w:t>
      </w:r>
      <w:bookmarkEnd w:id="17"/>
    </w:p>
    <w:p w14:paraId="6BBD37CA" w14:textId="58DE94CF" w:rsidR="00101813" w:rsidRPr="00E10CE7" w:rsidRDefault="00101813" w:rsidP="00023121">
      <w:pPr>
        <w:pStyle w:val="references"/>
        <w:rPr>
          <w:sz w:val="20"/>
          <w:szCs w:val="20"/>
        </w:rPr>
      </w:pPr>
      <w:bookmarkStart w:id="18" w:name="_Ref525914846"/>
      <w:r w:rsidRPr="00E10CE7">
        <w:rPr>
          <w:sz w:val="20"/>
          <w:szCs w:val="20"/>
        </w:rPr>
        <w:t>RP-181453, “</w:t>
      </w:r>
      <w:r w:rsidR="00023121" w:rsidRPr="00023121">
        <w:rPr>
          <w:sz w:val="20"/>
          <w:szCs w:val="20"/>
        </w:rPr>
        <w:t>Maintenance for multi-antenna scheme</w:t>
      </w:r>
      <w:r w:rsidRPr="00E10CE7">
        <w:rPr>
          <w:sz w:val="20"/>
          <w:szCs w:val="20"/>
        </w:rPr>
        <w:t xml:space="preserve">”, </w:t>
      </w:r>
      <w:r w:rsidR="00023121" w:rsidRPr="00E10CE7">
        <w:rPr>
          <w:sz w:val="20"/>
          <w:szCs w:val="20"/>
        </w:rPr>
        <w:t>Ericsson, 3GPP TSG RAN WG1 #94, Göteborg, Sweden, August 20-24, 2018</w:t>
      </w:r>
      <w:bookmarkEnd w:id="18"/>
    </w:p>
    <w:p w14:paraId="69FB52F5" w14:textId="1104B74E" w:rsidR="006B39F4" w:rsidRPr="00832F73" w:rsidRDefault="006B39F4">
      <w:pPr>
        <w:pStyle w:val="BodyText"/>
      </w:pPr>
    </w:p>
    <w:sectPr w:rsidR="006B39F4" w:rsidRPr="00832F73"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3A52B" w14:textId="77777777" w:rsidR="00DC06E0" w:rsidRDefault="00DC06E0">
      <w:r>
        <w:separator/>
      </w:r>
    </w:p>
  </w:endnote>
  <w:endnote w:type="continuationSeparator" w:id="0">
    <w:p w14:paraId="1A658140" w14:textId="77777777" w:rsidR="00DC06E0" w:rsidRDefault="00DC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C1BCC" w:rsidRDefault="008C1B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B8880" w14:textId="77777777" w:rsidR="00DC06E0" w:rsidRDefault="00DC06E0">
      <w:r>
        <w:separator/>
      </w:r>
    </w:p>
  </w:footnote>
  <w:footnote w:type="continuationSeparator" w:id="0">
    <w:p w14:paraId="38A55485" w14:textId="77777777" w:rsidR="00DC06E0" w:rsidRDefault="00DC0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C1BCC" w:rsidRDefault="008C1B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42EAF"/>
    <w:multiLevelType w:val="hybridMultilevel"/>
    <w:tmpl w:val="4B1CD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581675"/>
    <w:multiLevelType w:val="hybridMultilevel"/>
    <w:tmpl w:val="21A6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CE9112C"/>
    <w:multiLevelType w:val="hybridMultilevel"/>
    <w:tmpl w:val="D62E4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5"/>
  </w:num>
  <w:num w:numId="6">
    <w:abstractNumId w:val="26"/>
  </w:num>
  <w:num w:numId="7">
    <w:abstractNumId w:val="34"/>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5"/>
  </w:num>
  <w:num w:numId="16">
    <w:abstractNumId w:val="35"/>
  </w:num>
  <w:num w:numId="17">
    <w:abstractNumId w:val="9"/>
  </w:num>
  <w:num w:numId="18">
    <w:abstractNumId w:val="11"/>
  </w:num>
  <w:num w:numId="19">
    <w:abstractNumId w:val="6"/>
  </w:num>
  <w:num w:numId="20">
    <w:abstractNumId w:val="42"/>
  </w:num>
  <w:num w:numId="21">
    <w:abstractNumId w:val="18"/>
  </w:num>
  <w:num w:numId="22">
    <w:abstractNumId w:val="39"/>
  </w:num>
  <w:num w:numId="23">
    <w:abstractNumId w:val="8"/>
  </w:num>
  <w:num w:numId="24">
    <w:abstractNumId w:val="19"/>
  </w:num>
  <w:num w:numId="25">
    <w:abstractNumId w:val="17"/>
  </w:num>
  <w:num w:numId="26">
    <w:abstractNumId w:val="29"/>
  </w:num>
  <w:num w:numId="27">
    <w:abstractNumId w:val="13"/>
  </w:num>
  <w:num w:numId="28">
    <w:abstractNumId w:val="43"/>
  </w:num>
  <w:num w:numId="29">
    <w:abstractNumId w:val="38"/>
  </w:num>
  <w:num w:numId="30">
    <w:abstractNumId w:val="37"/>
  </w:num>
  <w:num w:numId="31">
    <w:abstractNumId w:val="33"/>
  </w:num>
  <w:num w:numId="32">
    <w:abstractNumId w:val="33"/>
  </w:num>
  <w:num w:numId="33">
    <w:abstractNumId w:val="43"/>
  </w:num>
  <w:num w:numId="34">
    <w:abstractNumId w:val="28"/>
  </w:num>
  <w:num w:numId="35">
    <w:abstractNumId w:val="3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0"/>
  </w:num>
  <w:num w:numId="39">
    <w:abstractNumId w:val="7"/>
  </w:num>
  <w:num w:numId="40">
    <w:abstractNumId w:val="27"/>
  </w:num>
  <w:num w:numId="41">
    <w:abstractNumId w:val="33"/>
    <w:lvlOverride w:ilvl="0">
      <w:startOverride w:val="1"/>
    </w:lvlOverride>
  </w:num>
  <w:num w:numId="42">
    <w:abstractNumId w:val="33"/>
  </w:num>
  <w:num w:numId="43">
    <w:abstractNumId w:val="14"/>
  </w:num>
  <w:num w:numId="44">
    <w:abstractNumId w:val="41"/>
  </w:num>
  <w:num w:numId="45">
    <w:abstractNumId w:val="5"/>
  </w:num>
  <w:num w:numId="46">
    <w:abstractNumId w:val="33"/>
  </w:num>
  <w:num w:numId="47">
    <w:abstractNumId w:val="33"/>
  </w:num>
  <w:num w:numId="48">
    <w:abstractNumId w:val="21"/>
  </w:num>
  <w:num w:numId="49">
    <w:abstractNumId w:val="20"/>
  </w:num>
  <w:num w:numId="50">
    <w:abstractNumId w:val="10"/>
  </w:num>
  <w:num w:numId="51">
    <w:abstractNumId w:val="3"/>
  </w:num>
  <w:num w:numId="52">
    <w:abstractNumId w:val="36"/>
  </w:num>
  <w:num w:numId="53">
    <w:abstractNumId w:val="33"/>
  </w:num>
  <w:num w:numId="54">
    <w:abstractNumId w:val="33"/>
  </w:num>
  <w:num w:numId="55">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4ED3"/>
    <w:rsid w:val="0000564C"/>
    <w:rsid w:val="00006446"/>
    <w:rsid w:val="00006896"/>
    <w:rsid w:val="00007CDC"/>
    <w:rsid w:val="00011B28"/>
    <w:rsid w:val="00015D15"/>
    <w:rsid w:val="000226E2"/>
    <w:rsid w:val="00023121"/>
    <w:rsid w:val="00024FFE"/>
    <w:rsid w:val="0002564D"/>
    <w:rsid w:val="00025D7D"/>
    <w:rsid w:val="00025ECA"/>
    <w:rsid w:val="000325B8"/>
    <w:rsid w:val="00033F38"/>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E5D"/>
    <w:rsid w:val="000B2719"/>
    <w:rsid w:val="000B3A8F"/>
    <w:rsid w:val="000B3EBD"/>
    <w:rsid w:val="000B4AB9"/>
    <w:rsid w:val="000B58C3"/>
    <w:rsid w:val="000B61E9"/>
    <w:rsid w:val="000C0378"/>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813"/>
    <w:rsid w:val="00103D1F"/>
    <w:rsid w:val="001062FB"/>
    <w:rsid w:val="001063E6"/>
    <w:rsid w:val="00113CF4"/>
    <w:rsid w:val="001153EA"/>
    <w:rsid w:val="00115643"/>
    <w:rsid w:val="00116765"/>
    <w:rsid w:val="001219F5"/>
    <w:rsid w:val="00121A20"/>
    <w:rsid w:val="0012377F"/>
    <w:rsid w:val="00124314"/>
    <w:rsid w:val="00126B4A"/>
    <w:rsid w:val="00126E34"/>
    <w:rsid w:val="00132FD0"/>
    <w:rsid w:val="001344C0"/>
    <w:rsid w:val="001346FA"/>
    <w:rsid w:val="00135252"/>
    <w:rsid w:val="00137AB5"/>
    <w:rsid w:val="00137F0B"/>
    <w:rsid w:val="001429DE"/>
    <w:rsid w:val="00151E23"/>
    <w:rsid w:val="001526E0"/>
    <w:rsid w:val="00153818"/>
    <w:rsid w:val="00154255"/>
    <w:rsid w:val="00154B2D"/>
    <w:rsid w:val="001551B5"/>
    <w:rsid w:val="001659C1"/>
    <w:rsid w:val="00173A8E"/>
    <w:rsid w:val="0017502C"/>
    <w:rsid w:val="001772E8"/>
    <w:rsid w:val="0018143F"/>
    <w:rsid w:val="00181FF8"/>
    <w:rsid w:val="0018405A"/>
    <w:rsid w:val="00190AC1"/>
    <w:rsid w:val="0019341A"/>
    <w:rsid w:val="0019705D"/>
    <w:rsid w:val="00197DF9"/>
    <w:rsid w:val="001A1987"/>
    <w:rsid w:val="001A1C27"/>
    <w:rsid w:val="001A21BD"/>
    <w:rsid w:val="001A2564"/>
    <w:rsid w:val="001A6173"/>
    <w:rsid w:val="001A6CBA"/>
    <w:rsid w:val="001B0D97"/>
    <w:rsid w:val="001B5A5D"/>
    <w:rsid w:val="001C1CE5"/>
    <w:rsid w:val="001C3591"/>
    <w:rsid w:val="001C3D2A"/>
    <w:rsid w:val="001C73D6"/>
    <w:rsid w:val="001D0292"/>
    <w:rsid w:val="001D51BA"/>
    <w:rsid w:val="001D53E7"/>
    <w:rsid w:val="001D6342"/>
    <w:rsid w:val="001D6D53"/>
    <w:rsid w:val="001E58E2"/>
    <w:rsid w:val="001E7AED"/>
    <w:rsid w:val="001F3916"/>
    <w:rsid w:val="001F54C5"/>
    <w:rsid w:val="001F662C"/>
    <w:rsid w:val="001F680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1EA6"/>
    <w:rsid w:val="0028280A"/>
    <w:rsid w:val="00285725"/>
    <w:rsid w:val="00286745"/>
    <w:rsid w:val="00286ACD"/>
    <w:rsid w:val="00287838"/>
    <w:rsid w:val="002907B5"/>
    <w:rsid w:val="00291559"/>
    <w:rsid w:val="00292EB7"/>
    <w:rsid w:val="00296227"/>
    <w:rsid w:val="00296F44"/>
    <w:rsid w:val="0029777D"/>
    <w:rsid w:val="002A055E"/>
    <w:rsid w:val="002A1D4E"/>
    <w:rsid w:val="002A2869"/>
    <w:rsid w:val="002B24D6"/>
    <w:rsid w:val="002C1C98"/>
    <w:rsid w:val="002C41E6"/>
    <w:rsid w:val="002C6C20"/>
    <w:rsid w:val="002D071A"/>
    <w:rsid w:val="002D34B2"/>
    <w:rsid w:val="002D3AB8"/>
    <w:rsid w:val="002D48B0"/>
    <w:rsid w:val="002D5B37"/>
    <w:rsid w:val="002D6B7A"/>
    <w:rsid w:val="002D7637"/>
    <w:rsid w:val="002E17F2"/>
    <w:rsid w:val="002E7CAE"/>
    <w:rsid w:val="002F2771"/>
    <w:rsid w:val="002F37A9"/>
    <w:rsid w:val="002F4ACE"/>
    <w:rsid w:val="00301CE6"/>
    <w:rsid w:val="0030256B"/>
    <w:rsid w:val="0030501F"/>
    <w:rsid w:val="00305C15"/>
    <w:rsid w:val="00305C55"/>
    <w:rsid w:val="00307BA1"/>
    <w:rsid w:val="00311702"/>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0132"/>
    <w:rsid w:val="00357380"/>
    <w:rsid w:val="003602D9"/>
    <w:rsid w:val="003604CE"/>
    <w:rsid w:val="00363256"/>
    <w:rsid w:val="00370E47"/>
    <w:rsid w:val="00371716"/>
    <w:rsid w:val="00372C26"/>
    <w:rsid w:val="00374063"/>
    <w:rsid w:val="003742AC"/>
    <w:rsid w:val="0037655B"/>
    <w:rsid w:val="00377117"/>
    <w:rsid w:val="00377CE1"/>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0F77"/>
    <w:rsid w:val="003E15FA"/>
    <w:rsid w:val="003E55E4"/>
    <w:rsid w:val="003E74E3"/>
    <w:rsid w:val="003F05C7"/>
    <w:rsid w:val="003F1883"/>
    <w:rsid w:val="003F2CD4"/>
    <w:rsid w:val="003F6BBE"/>
    <w:rsid w:val="0040000E"/>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7248"/>
    <w:rsid w:val="00431D62"/>
    <w:rsid w:val="00433666"/>
    <w:rsid w:val="00437447"/>
    <w:rsid w:val="00441A92"/>
    <w:rsid w:val="004431DC"/>
    <w:rsid w:val="00444F56"/>
    <w:rsid w:val="00446488"/>
    <w:rsid w:val="004517AA"/>
    <w:rsid w:val="00452CAC"/>
    <w:rsid w:val="00457565"/>
    <w:rsid w:val="00457B71"/>
    <w:rsid w:val="0046156A"/>
    <w:rsid w:val="00463600"/>
    <w:rsid w:val="004669E2"/>
    <w:rsid w:val="00467D0C"/>
    <w:rsid w:val="00470C31"/>
    <w:rsid w:val="00471DE0"/>
    <w:rsid w:val="004734D0"/>
    <w:rsid w:val="0047556B"/>
    <w:rsid w:val="00477768"/>
    <w:rsid w:val="00492BC5"/>
    <w:rsid w:val="004964F1"/>
    <w:rsid w:val="004A16BC"/>
    <w:rsid w:val="004A2B94"/>
    <w:rsid w:val="004B258F"/>
    <w:rsid w:val="004B3EF4"/>
    <w:rsid w:val="004B6F6A"/>
    <w:rsid w:val="004B7C0C"/>
    <w:rsid w:val="004C3898"/>
    <w:rsid w:val="004D30D7"/>
    <w:rsid w:val="004D36B1"/>
    <w:rsid w:val="004D734F"/>
    <w:rsid w:val="004D7EBD"/>
    <w:rsid w:val="004E2680"/>
    <w:rsid w:val="004E28F9"/>
    <w:rsid w:val="004E462E"/>
    <w:rsid w:val="004E56DC"/>
    <w:rsid w:val="004E76F4"/>
    <w:rsid w:val="004F0B4E"/>
    <w:rsid w:val="004F0B6C"/>
    <w:rsid w:val="004F2078"/>
    <w:rsid w:val="004F4DA3"/>
    <w:rsid w:val="004F7D0A"/>
    <w:rsid w:val="0050544E"/>
    <w:rsid w:val="005059A6"/>
    <w:rsid w:val="00506557"/>
    <w:rsid w:val="0050677A"/>
    <w:rsid w:val="005108D8"/>
    <w:rsid w:val="005116F9"/>
    <w:rsid w:val="00511BA8"/>
    <w:rsid w:val="005153A7"/>
    <w:rsid w:val="00521506"/>
    <w:rsid w:val="005219CF"/>
    <w:rsid w:val="00524931"/>
    <w:rsid w:val="0053109D"/>
    <w:rsid w:val="00534B59"/>
    <w:rsid w:val="00536759"/>
    <w:rsid w:val="00537C62"/>
    <w:rsid w:val="005419E4"/>
    <w:rsid w:val="00546970"/>
    <w:rsid w:val="00554E19"/>
    <w:rsid w:val="0056121F"/>
    <w:rsid w:val="00572505"/>
    <w:rsid w:val="00572869"/>
    <w:rsid w:val="00582809"/>
    <w:rsid w:val="00587288"/>
    <w:rsid w:val="0058798C"/>
    <w:rsid w:val="005900FA"/>
    <w:rsid w:val="00593019"/>
    <w:rsid w:val="0059325C"/>
    <w:rsid w:val="005935A4"/>
    <w:rsid w:val="005948C2"/>
    <w:rsid w:val="00595DCA"/>
    <w:rsid w:val="0059779B"/>
    <w:rsid w:val="005A209A"/>
    <w:rsid w:val="005A662D"/>
    <w:rsid w:val="005B1409"/>
    <w:rsid w:val="005B35D7"/>
    <w:rsid w:val="005B392A"/>
    <w:rsid w:val="005B3AA3"/>
    <w:rsid w:val="005B6F83"/>
    <w:rsid w:val="005C74FB"/>
    <w:rsid w:val="005D1602"/>
    <w:rsid w:val="005E108B"/>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4151F"/>
    <w:rsid w:val="00641533"/>
    <w:rsid w:val="006419B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8BC"/>
    <w:rsid w:val="006741F2"/>
    <w:rsid w:val="00674CC3"/>
    <w:rsid w:val="00675C72"/>
    <w:rsid w:val="00676BE8"/>
    <w:rsid w:val="006771F9"/>
    <w:rsid w:val="006776D7"/>
    <w:rsid w:val="00681003"/>
    <w:rsid w:val="006817C9"/>
    <w:rsid w:val="00683ECE"/>
    <w:rsid w:val="00695FC2"/>
    <w:rsid w:val="00696949"/>
    <w:rsid w:val="00697052"/>
    <w:rsid w:val="006A1552"/>
    <w:rsid w:val="006A46FB"/>
    <w:rsid w:val="006A546E"/>
    <w:rsid w:val="006A5E28"/>
    <w:rsid w:val="006A697B"/>
    <w:rsid w:val="006A7AFF"/>
    <w:rsid w:val="006B1816"/>
    <w:rsid w:val="006B2099"/>
    <w:rsid w:val="006B39F4"/>
    <w:rsid w:val="006B50CF"/>
    <w:rsid w:val="006C03B8"/>
    <w:rsid w:val="006C0BEA"/>
    <w:rsid w:val="006C2404"/>
    <w:rsid w:val="006C5EC9"/>
    <w:rsid w:val="006C6059"/>
    <w:rsid w:val="006C7522"/>
    <w:rsid w:val="006D18E6"/>
    <w:rsid w:val="006D2DE6"/>
    <w:rsid w:val="006D5C98"/>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1344"/>
    <w:rsid w:val="00742F55"/>
    <w:rsid w:val="007445A0"/>
    <w:rsid w:val="0074524B"/>
    <w:rsid w:val="00747370"/>
    <w:rsid w:val="00747A7D"/>
    <w:rsid w:val="00747D8B"/>
    <w:rsid w:val="00751228"/>
    <w:rsid w:val="00752E85"/>
    <w:rsid w:val="007571E1"/>
    <w:rsid w:val="007604B2"/>
    <w:rsid w:val="00762FE0"/>
    <w:rsid w:val="00764100"/>
    <w:rsid w:val="00764765"/>
    <w:rsid w:val="00764D47"/>
    <w:rsid w:val="00765281"/>
    <w:rsid w:val="007663FC"/>
    <w:rsid w:val="007668F8"/>
    <w:rsid w:val="00766BAD"/>
    <w:rsid w:val="007729A2"/>
    <w:rsid w:val="00773D8F"/>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A7F"/>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16D2"/>
    <w:rsid w:val="007F6E1C"/>
    <w:rsid w:val="00803FAE"/>
    <w:rsid w:val="0080605F"/>
    <w:rsid w:val="00807786"/>
    <w:rsid w:val="00811FCB"/>
    <w:rsid w:val="00812652"/>
    <w:rsid w:val="008158D6"/>
    <w:rsid w:val="00817196"/>
    <w:rsid w:val="0082107E"/>
    <w:rsid w:val="008235DB"/>
    <w:rsid w:val="00824AB4"/>
    <w:rsid w:val="00825C30"/>
    <w:rsid w:val="00825C42"/>
    <w:rsid w:val="00825D25"/>
    <w:rsid w:val="00827D6F"/>
    <w:rsid w:val="00832F73"/>
    <w:rsid w:val="00835213"/>
    <w:rsid w:val="00835F53"/>
    <w:rsid w:val="008376AC"/>
    <w:rsid w:val="00843099"/>
    <w:rsid w:val="008444E8"/>
    <w:rsid w:val="00844E80"/>
    <w:rsid w:val="00846B07"/>
    <w:rsid w:val="00846FE7"/>
    <w:rsid w:val="00853B3C"/>
    <w:rsid w:val="00856911"/>
    <w:rsid w:val="00864123"/>
    <w:rsid w:val="008677FD"/>
    <w:rsid w:val="008706D4"/>
    <w:rsid w:val="00870F8A"/>
    <w:rsid w:val="008719A4"/>
    <w:rsid w:val="00871D23"/>
    <w:rsid w:val="00874312"/>
    <w:rsid w:val="0087437C"/>
    <w:rsid w:val="00875CD7"/>
    <w:rsid w:val="00876B4D"/>
    <w:rsid w:val="00877F18"/>
    <w:rsid w:val="00883EE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BCC"/>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52E7"/>
    <w:rsid w:val="00902350"/>
    <w:rsid w:val="0090336B"/>
    <w:rsid w:val="009053AA"/>
    <w:rsid w:val="00906939"/>
    <w:rsid w:val="00910B7D"/>
    <w:rsid w:val="00911DFB"/>
    <w:rsid w:val="009131BC"/>
    <w:rsid w:val="009139D9"/>
    <w:rsid w:val="009149D2"/>
    <w:rsid w:val="00914AD8"/>
    <w:rsid w:val="00916079"/>
    <w:rsid w:val="00917C78"/>
    <w:rsid w:val="00917CE9"/>
    <w:rsid w:val="00920BF2"/>
    <w:rsid w:val="00922010"/>
    <w:rsid w:val="00922226"/>
    <w:rsid w:val="00926C08"/>
    <w:rsid w:val="009319BE"/>
    <w:rsid w:val="00931BD9"/>
    <w:rsid w:val="009368F3"/>
    <w:rsid w:val="00941636"/>
    <w:rsid w:val="00943742"/>
    <w:rsid w:val="00943A3A"/>
    <w:rsid w:val="00945C05"/>
    <w:rsid w:val="00946945"/>
    <w:rsid w:val="00947713"/>
    <w:rsid w:val="00950DE7"/>
    <w:rsid w:val="00952029"/>
    <w:rsid w:val="00953920"/>
    <w:rsid w:val="00953D47"/>
    <w:rsid w:val="0095634C"/>
    <w:rsid w:val="0095681E"/>
    <w:rsid w:val="009572D4"/>
    <w:rsid w:val="00961921"/>
    <w:rsid w:val="0096430A"/>
    <w:rsid w:val="0096554B"/>
    <w:rsid w:val="0096584A"/>
    <w:rsid w:val="0096669D"/>
    <w:rsid w:val="00971F08"/>
    <w:rsid w:val="00972DDD"/>
    <w:rsid w:val="0097322C"/>
    <w:rsid w:val="00973488"/>
    <w:rsid w:val="009755BB"/>
    <w:rsid w:val="0097589B"/>
    <w:rsid w:val="0097603D"/>
    <w:rsid w:val="00976294"/>
    <w:rsid w:val="00976949"/>
    <w:rsid w:val="00980477"/>
    <w:rsid w:val="00980E58"/>
    <w:rsid w:val="00985253"/>
    <w:rsid w:val="009853B3"/>
    <w:rsid w:val="00990630"/>
    <w:rsid w:val="00991761"/>
    <w:rsid w:val="00994DCA"/>
    <w:rsid w:val="009960EC"/>
    <w:rsid w:val="009970DD"/>
    <w:rsid w:val="009A0FBA"/>
    <w:rsid w:val="009A1601"/>
    <w:rsid w:val="009A3B15"/>
    <w:rsid w:val="009A3BB6"/>
    <w:rsid w:val="009A462D"/>
    <w:rsid w:val="009A5CBA"/>
    <w:rsid w:val="009B094D"/>
    <w:rsid w:val="009B0BE6"/>
    <w:rsid w:val="009B12FA"/>
    <w:rsid w:val="009B1B1C"/>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A01FA7"/>
    <w:rsid w:val="00A031D8"/>
    <w:rsid w:val="00A048A8"/>
    <w:rsid w:val="00A04F49"/>
    <w:rsid w:val="00A13E54"/>
    <w:rsid w:val="00A17F63"/>
    <w:rsid w:val="00A2193B"/>
    <w:rsid w:val="00A2351A"/>
    <w:rsid w:val="00A264A9"/>
    <w:rsid w:val="00A26DCF"/>
    <w:rsid w:val="00A27785"/>
    <w:rsid w:val="00A27DB3"/>
    <w:rsid w:val="00A30187"/>
    <w:rsid w:val="00A3448A"/>
    <w:rsid w:val="00A36297"/>
    <w:rsid w:val="00A41E2B"/>
    <w:rsid w:val="00A45B74"/>
    <w:rsid w:val="00A468D3"/>
    <w:rsid w:val="00A472A8"/>
    <w:rsid w:val="00A52E1D"/>
    <w:rsid w:val="00A546BC"/>
    <w:rsid w:val="00A56BD4"/>
    <w:rsid w:val="00A61499"/>
    <w:rsid w:val="00A62A77"/>
    <w:rsid w:val="00A63483"/>
    <w:rsid w:val="00A648BB"/>
    <w:rsid w:val="00A657D7"/>
    <w:rsid w:val="00A660AC"/>
    <w:rsid w:val="00A67E6C"/>
    <w:rsid w:val="00A71B99"/>
    <w:rsid w:val="00A739D0"/>
    <w:rsid w:val="00A7462B"/>
    <w:rsid w:val="00A761D4"/>
    <w:rsid w:val="00A77EC4"/>
    <w:rsid w:val="00A8065A"/>
    <w:rsid w:val="00A92879"/>
    <w:rsid w:val="00A9442A"/>
    <w:rsid w:val="00A96107"/>
    <w:rsid w:val="00AA016F"/>
    <w:rsid w:val="00AA1ED6"/>
    <w:rsid w:val="00AA51D6"/>
    <w:rsid w:val="00AB0939"/>
    <w:rsid w:val="00AB0BC8"/>
    <w:rsid w:val="00AB11CA"/>
    <w:rsid w:val="00AB14D9"/>
    <w:rsid w:val="00AB4AB8"/>
    <w:rsid w:val="00AB655E"/>
    <w:rsid w:val="00AC007F"/>
    <w:rsid w:val="00AC1602"/>
    <w:rsid w:val="00AC2ECD"/>
    <w:rsid w:val="00AC3119"/>
    <w:rsid w:val="00AC49FB"/>
    <w:rsid w:val="00AC5A10"/>
    <w:rsid w:val="00AD0AA3"/>
    <w:rsid w:val="00AD250F"/>
    <w:rsid w:val="00AD2ED0"/>
    <w:rsid w:val="00AD3F94"/>
    <w:rsid w:val="00AD4A5A"/>
    <w:rsid w:val="00AE13B2"/>
    <w:rsid w:val="00AE27AC"/>
    <w:rsid w:val="00AE40E0"/>
    <w:rsid w:val="00AE4DBA"/>
    <w:rsid w:val="00AE4F07"/>
    <w:rsid w:val="00AF1C5D"/>
    <w:rsid w:val="00AF42D7"/>
    <w:rsid w:val="00B006FE"/>
    <w:rsid w:val="00B007CB"/>
    <w:rsid w:val="00B02AA9"/>
    <w:rsid w:val="00B02FA3"/>
    <w:rsid w:val="00B05084"/>
    <w:rsid w:val="00B138DB"/>
    <w:rsid w:val="00B1477A"/>
    <w:rsid w:val="00B157F9"/>
    <w:rsid w:val="00B1635B"/>
    <w:rsid w:val="00B20256"/>
    <w:rsid w:val="00B20D09"/>
    <w:rsid w:val="00B2763F"/>
    <w:rsid w:val="00B27AAC"/>
    <w:rsid w:val="00B30929"/>
    <w:rsid w:val="00B36AFA"/>
    <w:rsid w:val="00B372AA"/>
    <w:rsid w:val="00B40445"/>
    <w:rsid w:val="00B409E0"/>
    <w:rsid w:val="00B41888"/>
    <w:rsid w:val="00B45A52"/>
    <w:rsid w:val="00B46175"/>
    <w:rsid w:val="00B468F7"/>
    <w:rsid w:val="00B5152F"/>
    <w:rsid w:val="00B548B7"/>
    <w:rsid w:val="00B664C7"/>
    <w:rsid w:val="00B665F7"/>
    <w:rsid w:val="00B739F6"/>
    <w:rsid w:val="00B81A6C"/>
    <w:rsid w:val="00B85C93"/>
    <w:rsid w:val="00B85DE5"/>
    <w:rsid w:val="00B90F73"/>
    <w:rsid w:val="00B93B59"/>
    <w:rsid w:val="00B93FDC"/>
    <w:rsid w:val="00B9406A"/>
    <w:rsid w:val="00BA2280"/>
    <w:rsid w:val="00BA2A08"/>
    <w:rsid w:val="00BA4A05"/>
    <w:rsid w:val="00BA56D2"/>
    <w:rsid w:val="00BA76E0"/>
    <w:rsid w:val="00BB2A25"/>
    <w:rsid w:val="00BB3AF0"/>
    <w:rsid w:val="00BB51E9"/>
    <w:rsid w:val="00BB6FB1"/>
    <w:rsid w:val="00BC0FDC"/>
    <w:rsid w:val="00BC3053"/>
    <w:rsid w:val="00BC429F"/>
    <w:rsid w:val="00BC4D2E"/>
    <w:rsid w:val="00BD48AC"/>
    <w:rsid w:val="00BD5F1A"/>
    <w:rsid w:val="00BE1234"/>
    <w:rsid w:val="00BE2FA6"/>
    <w:rsid w:val="00BE333F"/>
    <w:rsid w:val="00BE7406"/>
    <w:rsid w:val="00BE7603"/>
    <w:rsid w:val="00BF3279"/>
    <w:rsid w:val="00BF5C6D"/>
    <w:rsid w:val="00BF74C7"/>
    <w:rsid w:val="00C015F1"/>
    <w:rsid w:val="00C01F33"/>
    <w:rsid w:val="00C02AFC"/>
    <w:rsid w:val="00C02CC6"/>
    <w:rsid w:val="00C040F7"/>
    <w:rsid w:val="00C044AB"/>
    <w:rsid w:val="00C05706"/>
    <w:rsid w:val="00C07377"/>
    <w:rsid w:val="00C10478"/>
    <w:rsid w:val="00C12107"/>
    <w:rsid w:val="00C14D4B"/>
    <w:rsid w:val="00C154BB"/>
    <w:rsid w:val="00C15A65"/>
    <w:rsid w:val="00C242DB"/>
    <w:rsid w:val="00C279B5"/>
    <w:rsid w:val="00C27C45"/>
    <w:rsid w:val="00C34C56"/>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A1ED8"/>
    <w:rsid w:val="00CA3752"/>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6E71"/>
    <w:rsid w:val="00D37D87"/>
    <w:rsid w:val="00D40B33"/>
    <w:rsid w:val="00D4318F"/>
    <w:rsid w:val="00D438BF"/>
    <w:rsid w:val="00D440F8"/>
    <w:rsid w:val="00D45354"/>
    <w:rsid w:val="00D463CE"/>
    <w:rsid w:val="00D546AC"/>
    <w:rsid w:val="00D546FF"/>
    <w:rsid w:val="00D55AD5"/>
    <w:rsid w:val="00D576CA"/>
    <w:rsid w:val="00D618CD"/>
    <w:rsid w:val="00D61AF5"/>
    <w:rsid w:val="00D652B5"/>
    <w:rsid w:val="00D65F32"/>
    <w:rsid w:val="00D66155"/>
    <w:rsid w:val="00D66356"/>
    <w:rsid w:val="00D708B0"/>
    <w:rsid w:val="00D77B1D"/>
    <w:rsid w:val="00D8021F"/>
    <w:rsid w:val="00D80383"/>
    <w:rsid w:val="00D82171"/>
    <w:rsid w:val="00D823C6"/>
    <w:rsid w:val="00D8327F"/>
    <w:rsid w:val="00D842C0"/>
    <w:rsid w:val="00D86CA3"/>
    <w:rsid w:val="00D871CE"/>
    <w:rsid w:val="00D9196D"/>
    <w:rsid w:val="00D92256"/>
    <w:rsid w:val="00D92982"/>
    <w:rsid w:val="00DA0442"/>
    <w:rsid w:val="00DA1E39"/>
    <w:rsid w:val="00DA305E"/>
    <w:rsid w:val="00DA3366"/>
    <w:rsid w:val="00DA4056"/>
    <w:rsid w:val="00DA5417"/>
    <w:rsid w:val="00DA56E8"/>
    <w:rsid w:val="00DB0A9F"/>
    <w:rsid w:val="00DB377D"/>
    <w:rsid w:val="00DC06E0"/>
    <w:rsid w:val="00DC2D36"/>
    <w:rsid w:val="00DC477F"/>
    <w:rsid w:val="00DC53EF"/>
    <w:rsid w:val="00DE1E60"/>
    <w:rsid w:val="00DE5608"/>
    <w:rsid w:val="00DE58D0"/>
    <w:rsid w:val="00DE5D65"/>
    <w:rsid w:val="00DE654F"/>
    <w:rsid w:val="00DE7279"/>
    <w:rsid w:val="00DF0B6E"/>
    <w:rsid w:val="00DF15E0"/>
    <w:rsid w:val="00DF37A0"/>
    <w:rsid w:val="00E011B9"/>
    <w:rsid w:val="00E0657E"/>
    <w:rsid w:val="00E10CE7"/>
    <w:rsid w:val="00E110E7"/>
    <w:rsid w:val="00E11B20"/>
    <w:rsid w:val="00E16C12"/>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0410"/>
    <w:rsid w:val="00E446F1"/>
    <w:rsid w:val="00E45B2F"/>
    <w:rsid w:val="00E46886"/>
    <w:rsid w:val="00E47AEF"/>
    <w:rsid w:val="00E53B75"/>
    <w:rsid w:val="00E54E3B"/>
    <w:rsid w:val="00E567F3"/>
    <w:rsid w:val="00E5756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4EA2"/>
    <w:rsid w:val="00EB7550"/>
    <w:rsid w:val="00EC24D5"/>
    <w:rsid w:val="00EC27C6"/>
    <w:rsid w:val="00EC4207"/>
    <w:rsid w:val="00EC5653"/>
    <w:rsid w:val="00EC71CE"/>
    <w:rsid w:val="00ED05C4"/>
    <w:rsid w:val="00ED1006"/>
    <w:rsid w:val="00EE1F8E"/>
    <w:rsid w:val="00EE41E5"/>
    <w:rsid w:val="00EE5217"/>
    <w:rsid w:val="00EF18FE"/>
    <w:rsid w:val="00EF3931"/>
    <w:rsid w:val="00EF5787"/>
    <w:rsid w:val="00EF60D0"/>
    <w:rsid w:val="00F042B1"/>
    <w:rsid w:val="00F0528D"/>
    <w:rsid w:val="00F06C67"/>
    <w:rsid w:val="00F06DFD"/>
    <w:rsid w:val="00F071D1"/>
    <w:rsid w:val="00F07533"/>
    <w:rsid w:val="00F10629"/>
    <w:rsid w:val="00F15FA5"/>
    <w:rsid w:val="00F209B7"/>
    <w:rsid w:val="00F2376F"/>
    <w:rsid w:val="00F243D8"/>
    <w:rsid w:val="00F30828"/>
    <w:rsid w:val="00F313D6"/>
    <w:rsid w:val="00F36985"/>
    <w:rsid w:val="00F40F0C"/>
    <w:rsid w:val="00F4766C"/>
    <w:rsid w:val="00F5060E"/>
    <w:rsid w:val="00F507D1"/>
    <w:rsid w:val="00F519CE"/>
    <w:rsid w:val="00F51ADA"/>
    <w:rsid w:val="00F5407E"/>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5FA6"/>
    <w:rsid w:val="00FB6A6A"/>
    <w:rsid w:val="00FC7429"/>
    <w:rsid w:val="00FD0293"/>
    <w:rsid w:val="00FD07F6"/>
    <w:rsid w:val="00FD198D"/>
    <w:rsid w:val="00FD1EC8"/>
    <w:rsid w:val="00FD47ED"/>
    <w:rsid w:val="00FD74DB"/>
    <w:rsid w:val="00FD7660"/>
    <w:rsid w:val="00FE0655"/>
    <w:rsid w:val="00FE2365"/>
    <w:rsid w:val="00FE37D7"/>
    <w:rsid w:val="00FE4C7B"/>
    <w:rsid w:val="00FE7336"/>
    <w:rsid w:val="00FE787C"/>
    <w:rsid w:val="00FE7AF0"/>
    <w:rsid w:val="00FE7FD8"/>
    <w:rsid w:val="00FF1F7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0CE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E10C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0CE7"/>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qFormat/>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3"/>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styleId="PlaceholderText">
    <w:name w:val="Placeholder Text"/>
    <w:basedOn w:val="DefaultParagraphFont"/>
    <w:uiPriority w:val="99"/>
    <w:semiHidden/>
    <w:rsid w:val="00EE5217"/>
    <w:rPr>
      <w:color w:val="808080"/>
    </w:rPr>
  </w:style>
  <w:style w:type="character" w:customStyle="1" w:styleId="B10">
    <w:name w:val="B1 (文字)"/>
    <w:qFormat/>
    <w:locked/>
    <w:rsid w:val="00AB0939"/>
    <w:rPr>
      <w:lang w:val="en-GB"/>
    </w:rPr>
  </w:style>
  <w:style w:type="paragraph" w:customStyle="1" w:styleId="a">
    <w:name w:val="佐藤２"/>
    <w:basedOn w:val="Normal"/>
    <w:rsid w:val="00AB0939"/>
    <w:pPr>
      <w:numPr>
        <w:numId w:val="49"/>
      </w:numPr>
      <w:spacing w:after="180" w:line="240" w:lineRule="auto"/>
    </w:pPr>
    <w:rPr>
      <w:rFonts w:ascii="Times New Roman" w:eastAsia="MS Gothic" w:hAnsi="Times New Roman" w:cs="Times New Roman"/>
      <w:sz w:val="24"/>
      <w:szCs w:val="20"/>
      <w:lang w:val="en-GB" w:eastAsia="ja-JP"/>
    </w:rPr>
  </w:style>
  <w:style w:type="paragraph" w:styleId="Revision">
    <w:name w:val="Revision"/>
    <w:hidden/>
    <w:uiPriority w:val="99"/>
    <w:semiHidden/>
    <w:rsid w:val="00D6635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F4E52-69AF-422C-A6A4-AE2DF3843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3007</Words>
  <Characters>17144</Characters>
  <Application>Microsoft Office Word</Application>
  <DocSecurity>0</DocSecurity>
  <Lines>142</Lines>
  <Paragraphs>40</Paragraphs>
  <ScaleCrop>false</ScaleCrop>
  <Company/>
  <LinksUpToDate>false</LinksUpToDate>
  <CharactersWithSpaces>20111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2018-09-28T21:35:00Z</dcterms:created>
  <dcterms:modified xsi:type="dcterms:W3CDTF">2018-09-28T21:36:00Z</dcterms:modified>
  <cp:category/>
</cp:coreProperties>
</file>